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Grafos de Conocimiento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RAG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GraphDB</w:t>
      </w:r>
    </w:p>
    <w:p>
      <w:pPr>
        <w:spacing w:before="20" w:after="120"/>
        <w:ind w:left="850"/>
      </w:pPr>
      <w:r>
        <w:rPr>
          <w:color w:val="888888"/>
          <w:sz w:val="18"/>
        </w:rPr>
        <w:t>Graph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GraphDB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rdflib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Grafos de Conocimiento  |  Jetson AGX Orin - RAG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