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RAG Avanzado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RAG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Técnicas</w:t>
      </w:r>
    </w:p>
    <w:p>
      <w:pPr>
        <w:spacing w:before="20" w:after="120"/>
        <w:ind w:left="850"/>
      </w:pPr>
      <w:r>
        <w:rPr>
          <w:color w:val="888888"/>
          <w:sz w:val="18"/>
        </w:rPr>
        <w:t>Techniques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Técnicas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Query expansion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HyDE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Recursive retrieval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RAG Avanzado  |  Jetson AGX Orin - RAG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