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Base de Conocimiento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Part 23: Knowledge Graphs and Advanced RAGs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Available Guides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Quick Start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1. Install vector database (choose one)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2. Install embedding models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3. Create a simple RAG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Compatible Models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Embedding Models (Ollama)</w:t>
      </w:r>
    </w:p>
    <w:p>
      <w:pPr>
        <w:spacing w:before="20" w:after="120"/>
        <w:ind w:left="850"/>
      </w:pPr>
      <w:r>
        <w:rPr>
          <w:color w:val="888888"/>
          <w:sz w:val="18"/>
        </w:rPr>
        <w:t>This section covers building knowledge graphs and advanced RAG (Retrieval-Augmented Generation) systems on your Jetson AGX Orin 64GB for enterprise-grade AI applications.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Part 23: Knowledge Graphs and Advanced RAGs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section covers building knowledge graphs and advanced RAG (Retrieval-Augmented Generation) systems on your Jetson AGX Orin 64GB for enterprise-grade AI applications.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Available Guides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File | Description |</w:t>
        <w:br/>
        <w:t>|------|-------------|</w:t>
        <w:br/>
        <w:t>| [01-overview.md](./01-overview.md) | Introduction to knowledge graphs and advanced RAGs |</w:t>
        <w:br/>
        <w:t>| [02-environment-setup.md](./02-environment-setup.md) | Prerequisites and dependencies |</w:t>
        <w:br/>
        <w:t>| [03-vector-databases.md](./03-vector-databases.md) | Vector database options for Jetson |</w:t>
        <w:br/>
        <w:t>| [04-knowledge-graphs.md](./04-knowledge-graphs.md) | Building knowledge graphs |</w:t>
        <w:br/>
        <w:t>| [05-advanced-rag.md](./05-advanced-rag.md) | Advanced RAG techniques |</w:t>
        <w:br/>
        <w:t>| [06-hybrid-search.md](./06-hybrid-search.md) | Hybrid search implementations |</w:t>
        <w:br/>
        <w:t>| [07-graph-rag.md](./07-graph-rag.md) | Graph-based RAG systems |</w:t>
        <w:br/>
        <w:t>| [08-multi-modal-rag.md](./08-multi-modal-rag.md) | Multi-modal RAG applications |</w:t>
        <w:br/>
        <w:t>| [09-embedding-models.md](./09-embedding-models.md) | Embedding model selection |</w:t>
        <w:br/>
        <w:t>| [10-rag-pipelines.md](./10-rag-pipelines.md) | Complete RAG pipeline examples |</w:t>
        <w:br/>
        <w:t>| [11-evaluation.md](./11-evaluation.md) | RAG evaluation metrics |</w:t>
        <w:br/>
        <w:t>| [12-production.md](./12-production.md) | Production deployment |</w:t>
        <w:br/>
        <w:t>| [13-troubleshooting.md](./13-troubleshooting.md) | Common issues and solutions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Quick Start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1. Install vector database (choose one)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 install faiss-cpu  # Lightweight</w:t>
        <w:br/>
        <w:t>pip install chromadb    # Production-ready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2. Install embedding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ollama pull nomic-embed-text:latest</w:t>
        <w:br/>
        <w:t>ollama pull qwen3-embedding:latest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3. Create a simple RAG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create_rag.py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Jetson AGX Orin 64GB</w:t>
        <w:br/>
        <w:t>- JetPack 6.2.2</w:t>
        <w:br/>
        <w:t>- Ollama or llama.cpp running</w:t>
        <w:br/>
        <w:t>- 16GB+ RAM available for RAG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Compatible Models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Embedding Models (Ollama)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- </w:t>
      </w:r>
      <w:r>
        <w:rPr>
          <w:rFonts w:ascii="Courier New" w:hAnsi="Courier New"/>
          <w:color w:val="1A6A8A"/>
          <w:sz w:val="20"/>
        </w:rPr>
        <w:t>nomic-embed-text:latest</w:t>
      </w:r>
      <w:r>
        <w:rPr>
          <w:rFonts w:ascii="Calibri" w:hAnsi="Calibri"/>
          <w:sz w:val="22"/>
        </w:rPr>
        <w:t xml:space="preserve"> - Best general purpose</w:t>
        <w:br/>
        <w:t xml:space="preserve">- </w:t>
      </w:r>
      <w:r>
        <w:rPr>
          <w:rFonts w:ascii="Courier New" w:hAnsi="Courier New"/>
          <w:color w:val="1A6A8A"/>
          <w:sz w:val="20"/>
        </w:rPr>
        <w:t>qwen3-embedding:latest</w:t>
      </w:r>
      <w:r>
        <w:rPr>
          <w:rFonts w:ascii="Calibri" w:hAnsi="Calibri"/>
          <w:sz w:val="22"/>
        </w:rPr>
        <w:t xml:space="preserve"> - High quality</w:t>
        <w:br/>
        <w:t xml:space="preserve">- </w:t>
      </w:r>
      <w:r>
        <w:rPr>
          <w:rFonts w:ascii="Courier New" w:hAnsi="Courier New"/>
          <w:color w:val="1A6A8A"/>
          <w:sz w:val="20"/>
        </w:rPr>
        <w:t>embeddinggemma:latest</w:t>
      </w:r>
      <w:r>
        <w:rPr>
          <w:rFonts w:ascii="Calibri" w:hAnsi="Calibri"/>
          <w:sz w:val="22"/>
        </w:rPr>
        <w:t xml:space="preserve"> - Lightweight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Base de Conocimiento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