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Visión General de Workflows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Workflows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Workflows</w:t>
      </w:r>
    </w:p>
    <w:p>
      <w:pPr>
        <w:spacing w:before="20" w:after="120"/>
        <w:ind w:left="850"/>
      </w:pPr>
      <w:r>
        <w:rPr>
          <w:color w:val="888888"/>
          <w:sz w:val="18"/>
        </w:rPr>
        <w:t>Workflows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Workflows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Los workflows permiten automatizar procesos complejos con LLMs.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Visión General de Workflows  |  Jetson AGX Orin - Workflows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