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Conceptos Básicos de LangChain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Workflows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LangChain</w:t>
      </w:r>
    </w:p>
    <w:p>
      <w:pPr>
        <w:spacing w:before="20" w:after="120"/>
        <w:ind w:left="850"/>
      </w:pPr>
      <w:r>
        <w:rPr>
          <w:color w:val="888888"/>
          <w:sz w:val="18"/>
        </w:rPr>
        <w:t>LangChain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LangChain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langchain import LLMChain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Conceptos Básicos de LangChain  |  Jetson AGX Orin - Workflows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