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LangChain en Jetson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Workflows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Configurar</w:t>
      </w:r>
    </w:p>
    <w:p>
      <w:pPr>
        <w:spacing w:before="20" w:after="120"/>
        <w:ind w:left="850"/>
      </w:pPr>
      <w:r>
        <w:rPr>
          <w:color w:val="888888"/>
          <w:sz w:val="18"/>
        </w:rPr>
        <w:t>Configure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Configurar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from langchain.llms import Ollama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llm = Ollama(model='llama2')</w:t>
            </w:r>
          </w:p>
        </w:tc>
      </w:tr>
    </w:tbl>
    <w:p>
      <w:pPr>
        <w:spacing w:before="0" w:after="160"/>
      </w:pP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LangChain en Jetson  |  Jetson AGX Orin - Workflows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