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Agents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Workflows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Usar Agents</w:t>
      </w:r>
    </w:p>
    <w:p>
      <w:pPr>
        <w:spacing w:before="20" w:after="120"/>
        <w:ind w:left="850"/>
      </w:pPr>
      <w:r>
        <w:rPr>
          <w:color w:val="888888"/>
          <w:sz w:val="18"/>
        </w:rPr>
        <w:t>Use agents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Usar Agents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langchain.agents import AgentExecutor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Agents  |  Jetson AGX Orin - Workflows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