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Automatización RAG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Workflows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Automatizar RAG</w:t>
      </w:r>
    </w:p>
    <w:p>
      <w:pPr>
        <w:spacing w:before="20" w:after="120"/>
        <w:ind w:left="850"/>
      </w:pPr>
      <w:r>
        <w:rPr>
          <w:color w:val="888888"/>
          <w:sz w:val="18"/>
        </w:rPr>
        <w:t>Automate RAG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Automatizar RAG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langchain.chains import RetrievalQA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Automatización RAG  |  Jetson AGX Orin - Workflows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