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Visión General de Coding Assistant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Coding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Asistentes</w:t>
      </w:r>
    </w:p>
    <w:p>
      <w:pPr>
        <w:spacing w:before="20" w:after="120"/>
        <w:ind w:left="850"/>
      </w:pPr>
      <w:r>
        <w:rPr>
          <w:color w:val="888888"/>
          <w:sz w:val="18"/>
        </w:rPr>
        <w:t>Assistants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Asistentes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Los asistentes de código usan LLMs para ayudar en programación.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Visión General de Coding Assistant  |  Jetson AGX Orin - Coding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