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Model Routing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Route</w:t>
      </w:r>
    </w:p>
    <w:p>
      <w:pPr>
        <w:spacing w:before="20" w:after="120"/>
        <w:ind w:left="850"/>
      </w:pPr>
      <w:r>
        <w:rPr>
          <w:color w:val="888888"/>
          <w:sz w:val="18"/>
        </w:rPr>
        <w:t>Route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Route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if simple: use local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else: use cloud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Model Routing  |  Jetson AGX Orin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