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Load Balancing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Balance</w:t>
      </w:r>
    </w:p>
    <w:p>
      <w:pPr>
        <w:spacing w:before="20" w:after="120"/>
        <w:ind w:left="850"/>
      </w:pPr>
      <w:r>
        <w:rPr>
          <w:color w:val="888888"/>
          <w:sz w:val="18"/>
        </w:rPr>
        <w:t>Balance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Balance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nginx load balancing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Load Balancing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