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Monitoreo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Monitoring &amp; Observability</w:t>
      </w:r>
    </w:p>
    <w:p>
      <w:pPr>
        <w:spacing w:before="20" w:after="120"/>
        <w:ind w:left="850"/>
      </w:pPr>
      <w:r>
        <w:rPr>
          <w:color w:val="888888"/>
          <w:sz w:val="18"/>
        </w:rPr>
        <w:t>```python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Logging</w:t>
      </w:r>
    </w:p>
    <w:p>
      <w:pPr>
        <w:spacing w:before="20" w:after="120"/>
        <w:ind w:left="850"/>
      </w:pPr>
      <w:r>
        <w:rPr>
          <w:color w:val="888888"/>
          <w:sz w:val="18"/>
        </w:rPr>
        <w:t>```python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Metrics</w:t>
      </w:r>
    </w:p>
    <w:p>
      <w:pPr>
        <w:spacing w:before="20" w:after="120"/>
        <w:ind w:left="850"/>
      </w:pPr>
      <w:r>
        <w:rPr>
          <w:color w:val="888888"/>
          <w:sz w:val="18"/>
        </w:rPr>
        <w:t>```python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Health Checks</w:t>
      </w:r>
    </w:p>
    <w:p>
      <w:pPr>
        <w:spacing w:before="20" w:after="120"/>
        <w:ind w:left="850"/>
      </w:pPr>
      <w:r>
        <w:rPr>
          <w:color w:val="888888"/>
          <w:sz w:val="18"/>
        </w:rPr>
        <w:t>```python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Next Steps</w:t>
      </w:r>
    </w:p>
    <w:p>
      <w:pPr>
        <w:spacing w:before="20" w:after="120"/>
        <w:ind w:left="850"/>
      </w:pPr>
      <w:r>
        <w:rPr>
          <w:color w:val="888888"/>
          <w:sz w:val="18"/>
        </w:rPr>
        <w:t>```python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Monitoring &amp; Observability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Logging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Metrics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Health Checks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Next Steps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- [Best Practices](./10-best-practices.md) - Jetson-specific practices</w:t>
        <w:br/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Monitoreo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