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Rendimiento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Part 26: Vibe Engineering &amp; AI Patterns</w:t>
      </w:r>
    </w:p>
    <w:p>
      <w:pPr>
        <w:spacing w:before="20" w:after="120"/>
        <w:ind w:left="850"/>
      </w:pPr>
      <w:r>
        <w:rPr>
          <w:color w:val="888888"/>
          <w:sz w:val="18"/>
        </w:rPr>
        <w:t>This section covers engineering best practices, design patterns, linters, and quality guidelines specifically for AI projects on your Jetson AGX Orin. Build production-ready AI applications with prope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Overview</w:t>
      </w:r>
    </w:p>
    <w:p>
      <w:pPr>
        <w:spacing w:before="20" w:after="120"/>
        <w:ind w:left="850"/>
      </w:pPr>
      <w:r>
        <w:rPr>
          <w:color w:val="888888"/>
          <w:sz w:val="18"/>
        </w:rPr>
        <w:t>This section covers engineering best practices, design patterns, linters, and quality guidelines specifically for AI projects on your Jetson AGX Orin. Build production-ready AI applications with prope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Available Guides</w:t>
      </w:r>
    </w:p>
    <w:p>
      <w:pPr>
        <w:spacing w:before="20" w:after="120"/>
        <w:ind w:left="850"/>
      </w:pPr>
      <w:r>
        <w:rPr>
          <w:color w:val="888888"/>
          <w:sz w:val="18"/>
        </w:rPr>
        <w:t>This section covers engineering best practices, design patterns, linters, and quality guidelines specifically for AI projects on your Jetson AGX Orin. Build production-ready AI applications with prope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Quick Start</w:t>
      </w:r>
    </w:p>
    <w:p>
      <w:pPr>
        <w:spacing w:before="20" w:after="120"/>
        <w:ind w:left="850"/>
      </w:pPr>
      <w:r>
        <w:rPr>
          <w:color w:val="888888"/>
          <w:sz w:val="18"/>
        </w:rPr>
        <w:t>This section covers engineering best practices, design patterns, linters, and quality guidelines specifically for AI projects on your Jetson AGX Orin. Build production-ready AI applications with prope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Install linters</w:t>
      </w:r>
    </w:p>
    <w:p>
      <w:pPr>
        <w:spacing w:before="20" w:after="120"/>
        <w:ind w:left="850"/>
      </w:pPr>
      <w:r>
        <w:rPr>
          <w:color w:val="888888"/>
          <w:sz w:val="18"/>
        </w:rPr>
        <w:t>This section covers engineering best practices, design patterns, linters, and quality guidelines specifically for AI projects on your Jetson AGX Orin. Build production-ready AI applications with prope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Set up project</w:t>
      </w:r>
    </w:p>
    <w:p>
      <w:pPr>
        <w:spacing w:before="20" w:after="120"/>
        <w:ind w:left="850"/>
      </w:pPr>
      <w:r>
        <w:rPr>
          <w:color w:val="888888"/>
          <w:sz w:val="18"/>
        </w:rPr>
        <w:t>This section covers engineering best practices, design patterns, linters, and quality guidelines specifically for AI projects on your Jetson AGX Orin. Build production-ready AI applications with prope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Run quality checks</w:t>
      </w:r>
    </w:p>
    <w:p>
      <w:pPr>
        <w:spacing w:before="20" w:after="120"/>
        <w:ind w:left="850"/>
      </w:pPr>
      <w:r>
        <w:rPr>
          <w:color w:val="888888"/>
          <w:sz w:val="18"/>
        </w:rPr>
        <w:t>This section covers engineering best practices, design patterns, linters, and quality guidelines specifically for AI projects on your Jetson AGX Orin. Build production-ready AI applications with prope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Architecture</w:t>
      </w:r>
    </w:p>
    <w:p>
      <w:pPr>
        <w:spacing w:before="20" w:after="120"/>
        <w:ind w:left="850"/>
      </w:pPr>
      <w:r>
        <w:rPr>
          <w:color w:val="888888"/>
          <w:sz w:val="18"/>
        </w:rPr>
        <w:t>This section covers engineering best practices, design patterns, linters, and quality guidelines specifically for AI projects on your Jetson AGX Orin. Build production-ready AI applications with prope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Next Steps</w:t>
      </w:r>
    </w:p>
    <w:p>
      <w:pPr>
        <w:spacing w:before="20" w:after="120"/>
        <w:ind w:left="850"/>
      </w:pPr>
      <w:r>
        <w:rPr>
          <w:color w:val="888888"/>
          <w:sz w:val="18"/>
        </w:rPr>
        <w:t>This section covers engineering best practices, design patterns, linters, and quality guidelines specifically for AI projects on your Jetson AGX Orin. Build production-ready AI applications with prope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Part 26: Vibe Engineering &amp; AI Patterns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Overview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This section covers engineering best practices, design patterns, linters, and quality guidelines specifically for AI projects on your Jetson AGX Orin. Build production-ready AI applications with proper architecture and code quality.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Available Guides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| File | Description |</w:t>
        <w:br/>
        <w:t>|------|-------------|</w:t>
        <w:br/>
        <w:t>| [01-overview.md](./01-overview.md) | Vibe engineering introduction |</w:t>
        <w:br/>
        <w:t>| [02-project-structure.md](./02-project-structure.md) | AI project folder structure |</w:t>
        <w:br/>
        <w:t>| [03-design-patterns.md](./03-design-patterns.md) | AI design patterns |</w:t>
        <w:br/>
        <w:t>| [04-code-quality.md](./04-code-quality.md) | Code quality guidelines |</w:t>
        <w:br/>
        <w:t>| [05-linters.md](./05-linters.md) | Python linters for AI |</w:t>
        <w:br/>
        <w:t>| [06-testing.md](./06-testing.md) | Testing AI components |</w:t>
        <w:br/>
        <w:t>| [07-documentation.md](./07-documentation.md) | Documentation standards |</w:t>
        <w:br/>
        <w:t>| [08-ci-cd.md](./08-ci-cd.md) | CI/CD for AI projects |</w:t>
        <w:br/>
        <w:t>| [09-monitoring.md](./09-monitoring.md) | Observability |</w:t>
        <w:br/>
        <w:t>| [10-best-practices.md](./10-best-practices.md) | Jetson-specific best practices |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Quick Start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Install linters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pip install ruff black pylint mypy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Set up project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python -m ai_project init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Run quality checks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make quality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Architecture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Next Steps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Start with [01-overview.md](./01-overview.md) to understand vibe engineering.</w:t>
        <w:br/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Rendimiento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