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  <w:outlineLvl w:val="0"/>
      </w:pPr>
      <w:r>
        <w:rPr>
          <w:b w:val="0"/>
        </w:rPr>
        <w:t xml:space="preserve">Capítulo 11B — </w:t>
      </w:r>
      <w:r>
        <w:rPr>
          <w:b w:val="0"/>
        </w:rPr>
        <w:t>NemoClaw: Capa de Seguridad L7 sobre OpenClaw</w:t>
      </w: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Introducción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NemoClaw es el proxy de políticas que envuelve a OpenClaw con tres capas de protección indispensables cuando da acceso al bot de Telegram a terceros: políticas L7 REST (bloqueo selectivo de rutas de API), aislamiento del sistema de archivos (el agente solo accede a directorios explícitamente permitidos) y control de red (puede prohibir que el agente haga solicitudes hacia internet o hacia servicios internos que no debe tocar).</w:t>
      </w:r>
    </w:p>
    <w:p>
      <w:pPr>
        <w:pStyle w:val="Endure-ChapterBodyText"/>
        <w:spacing w:before="100" w:after="100" w:line="240" w:lineRule="auto"/>
      </w:pPr>
      <w:r>
        <w:rPr>
          <w:sz w:val="20"/>
        </w:rPr>
        <w:t>Sin NemoClaw, cualquier usuario del bot de Telegram podría pedirle al agente que borre archivos, ejecute comandos del sistema o filtre datos privados. NemoClaw actúa como un guardia que revisa cada solicitud antes de que llegue al modelo.</w:t>
      </w:r>
    </w:p>
    <w:p>
      <w:pPr>
        <w:pStyle w:val="Endure-ChapterBodyText"/>
        <w:spacing w:before="100" w:after="100" w:line="240" w:lineRule="auto"/>
      </w:pPr>
      <w:r>
        <w:rPr>
          <w:sz w:val="20"/>
        </w:rPr>
        <w:t>Este capítulo cubre únicamente NemoClaw. Para OpenClaw (gateway principal) consulte el Capítulo 11A.</w:t>
      </w: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Modo energético:</w:t>
      </w:r>
      <w:r>
        <w:rPr>
          <w:sz w:val="20"/>
        </w:rPr>
        <w:t xml:space="preserve"> NemoClaw es un proxy liviano — 30W es suficiente. El modo de energía lo controla el motor de inferencia, no NemoClaw.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Prerrequisito: OpenClaw instalado, configurado y con el bot de Telegram activo (Capítulo 11A). NemoClaw envuelve a OpenClaw — sin OpenClaw, NemoClaw no tiene nada que proteger.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13B.1 Arquitectura de NemoClaw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07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ap11b-0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CopyrightPage"/>
        <w:spacing w:before="40" w:after="160" w:line="240" w:lineRule="auto"/>
        <w:jc w:val="center"/>
      </w:pPr>
      <w:r>
        <w:rPr>
          <w:i/>
          <w:sz w:val="16"/>
        </w:rPr>
        <w:t>Arquitectura de NemoClaw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Arquitectura NemoClaw — JetPack 7.2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═════════════════════════════════════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Navegador / WhatsApp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▼  puerto 18789 (loopback)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┌──────────────────────┐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NemoClaw Proxy     │   ← Capa de seguridad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─────────────────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• Políticas L7 REST│   Bloquea rutas de API específicas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• Aislamiento FS   │   El agente solo ve directorios permitidos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• Control de red   │   Puede prohibir salidas a internet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└──────────────────────┘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▼  puerto 18788 (interno)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┌──────────────────────┐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OpenClaw Gateway   │   ← Agente central (Capítulo 11A)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└──────────────────────┘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▼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┌──────────────────────┐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vLLM :8000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llama.cpp :8080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Ollama :11434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└──────────────────────┘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sz w:val="20"/>
        </w:rPr>
        <w:t>NemoClaw intercepta todas las solicitudes antes de que lleguen al gateway OpenClaw. Actúa como un firewall de aplicación: puede aprobar, rechazar o modificar cada solicitud basándose en las políticas configuradas.</w:t>
      </w: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13B.2 Instalación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JetPack 7.2 incluye todas las dependencias necesarias. La instalación se reduce a un solo comando: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Instalación oficial NVIDIA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Tarda 3-5 minutos — descarga el proxy y configura los servicios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-fsSL nvidia.com/nemoclaw.sh | bash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NemoClaw installed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Dependencies satisfied (JetPack 7.2 detected)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Proxy service configured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→ Run 'nemoclaw start' to activate the security proxy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instalación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--version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Esperado: NemoClaw 2026.x.x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C0392B"/>
              <w:bottom w:val="single" w:sz="4" w:color="C0392B"/>
              <w:right w:val="single" w:sz="4" w:color="C0392B"/>
              <w:left w:val="single" w:sz="16" w:color="C0392B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C0392B"/>
                <w:sz w:val="18"/>
              </w:rPr>
              <w:t xml:space="preserve">ADVERTENCIA: </w:t>
            </w:r>
            <w:r>
              <w:t xml:space="preserve">ADVERTENCIA — Repositorio incorrecto: El repositorio </w:t>
            </w:r>
            <w:r>
              <w:rPr>
                <w:rFonts w:ascii="Courier New" w:hAnsi="Courier New"/>
                <w:sz w:val="16"/>
              </w:rPr>
              <w:t>github.com/jetsonhacks/NemoClaw-Orin</w:t>
            </w:r>
            <w:r>
              <w:t xml:space="preserve"> no existe. Cualquier guía que indique clonarlo está desactualizada. Use exclusivamente el instalador oficial </w:t>
            </w:r>
            <w:r>
              <w:rPr>
                <w:rFonts w:ascii="Courier New" w:hAnsi="Courier New"/>
                <w:sz w:val="16"/>
              </w:rPr>
              <w:t>curl -fsSL nvidia.com/nemoclaw.sh | bash</w:t>
            </w:r>
            <w: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E67E22"/>
              <w:bottom w:val="single" w:sz="4" w:color="E67E22"/>
              <w:right w:val="single" w:sz="4" w:color="E67E22"/>
              <w:left w:val="single" w:sz="16" w:color="E67E22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E67E22"/>
                <w:sz w:val="18"/>
              </w:rPr>
              <w:t xml:space="preserve">IMPORTANTE: </w:t>
            </w:r>
            <w:r>
              <w:t xml:space="preserve">IMPORTANTE — Boot limpio: El instalador configura el servicio pero NO lo habilita en boot automáticamente. Esto es correcto para la arquitectura clean-start. Active NemoClaw bajo demanda con </w:t>
            </w:r>
            <w:r>
              <w:rPr>
                <w:rFonts w:ascii="Courier New" w:hAnsi="Courier New"/>
                <w:sz w:val="16"/>
              </w:rPr>
              <w:t>nemoclaw start</w:t>
            </w:r>
            <w:r>
              <w:t>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13B.3 Gestión del Proxy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estado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status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proxy: running on :18789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gateway: connected (via :18788)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Inference backend: connected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Active policies: 3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Detener el proxy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stop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el proxy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Reiniciar (útil tras cambio de modelo de inferencia)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restart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endpoint de salud del 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http://localhost:18789/health &amp;&amp; echo "[OK] Gateway en :18789 activo"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13B.4 Configuración de Inferencia Local (Modo Offline)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 xml:space="preserve">Para un despliegue completamente offline y privado, apunte NemoClaw al servidor local activo. El flujo correcto es: </w:t>
      </w:r>
      <w:r>
        <w:rPr>
          <w:b/>
          <w:sz w:val="20"/>
        </w:rPr>
        <w:t>primero iniciar el motor de inferencia</w:t>
      </w:r>
      <w:r>
        <w:rPr>
          <w:sz w:val="20"/>
        </w:rPr>
        <w:t>, luego NemoClaw.</w:t>
      </w: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Ejemplo concreto — configuracion con vLLM + Gemma 4 E2B: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PASO 1: Iniciar el motor de inferencia (del Capitulo 12)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mode-vllm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Espera a que vLLM este listo (~3 min) antes de continuar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PASO 2: Verificar que vLLM responde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http://localhost:8000/v1/models | python3 -m json.tool | grep '"id"'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Salida: "id": "google/gemma-3-4b-it"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PASO 3: Configurar NemoClaw para usar vLLM local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config set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--inference-provider local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--base-url http://localhost:8000/v1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--model gemma4-e2b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PASO 4: Iniciar NemoClaw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sleep 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PASO 5: Verificar la cadena completa (OpenClaw -&gt; NemoClaw -&gt; vLLM)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status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Proxy: running on :18788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Gateway: connected via proxy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Inference: local @ http://localhost:8000/v1 [OK]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Model: gemma4-e2b (connected)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Policies: 3 active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Probar que el agente responde a traves de NemoClaw: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http://localhost:18789/api/health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Salida: {"status":"ok","proxy":"nemoclaw","backend":"vllm"}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Otras configuraciones de backend: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Cambiar a Ollama (sin Docker, mas rapido de iniciar):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mode-ollama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config set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--inference-provider local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--base-url http://localhost:11434/v1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--model qwen3:8b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restart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Cambiar a llama.cpp (bajo consumo):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mode-lite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config set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--inference-provider local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--base-url http://localhost:8080/v1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--model gemma4-e2b-gguf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restart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backend activo tras cualquier cambio: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config show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de nemoclaw config show: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inference.provider: local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inference.base-url: http://localhost:8000/v1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inference.model: qwen3:8b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status: connected [OK]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policies: 3 reglas activas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filesystem.sandbox: /home/jetson/data/agent-sandbox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network.mode: allowlist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13B.5 Configuración de Políticas de Seguridad</w:t>
      </w: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13B.5.1 Políticas L7 REST — Bloquear Rutas de API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NemoClaw puede bloquear que el agente llame a rutas específicas de la API del sistema: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políticas activas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policies list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Bloquear comandos sensibles de sistema de archivos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policies add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--rule block-fs-delete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--match "POST /api/files/delete"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--action deny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--reason "El agente no puede borrar archivos del sistema"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Bloquear acceso a la cámara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policies add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--rule block-camera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--match "POST /api/camera/*"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--action deny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Bloquear envío de SMS desde el agente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policies add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--rule block-sms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--match "POST /api/sms/send"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--action deny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las reglas configuradas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policies list --verbose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13B.5.2 Control de Red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Modo offline total: el agente no puede hacer solicitudes a internet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config set network.outbound.mode offline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Modo allowlist: el agente solo puede contactar hosts específicos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config set network.outbound.mode allowlist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config set network.outbound.allowlist '["localhost","192.168.1.0/24"]'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Modo por defecto (permisivo): el agente puede contactar cualquier host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config set network.outbound.mode permissive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modo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config get network.outbound.mode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RECOMENDACIONES DE IMPLEMENTACIÓN — Balance entre privacidad y funcionalidad:  Antes de activar el modo </w:t>
            </w:r>
            <w:r>
              <w:rPr>
                <w:rFonts w:ascii="Courier New" w:hAnsi="Courier New"/>
                <w:sz w:val="16"/>
              </w:rPr>
              <w:t>offline</w:t>
            </w:r>
            <w:r>
              <w:t xml:space="preserve"> total, considere qué servicios externos usa su stack:  - Telegram / WhatsApp: Requieren acceso a las APIs de Telegram (</w:t>
            </w:r>
            <w:r>
              <w:rPr>
                <w:rFonts w:ascii="Courier New" w:hAnsi="Courier New"/>
                <w:sz w:val="16"/>
              </w:rPr>
              <w:t>api.telegram.org</w:t>
            </w:r>
            <w:r>
              <w:t xml:space="preserve">) y de WhatsApp Business. El modo </w:t>
            </w:r>
            <w:r>
              <w:rPr>
                <w:rFonts w:ascii="Courier New" w:hAnsi="Courier New"/>
                <w:sz w:val="16"/>
              </w:rPr>
              <w:t>offline</w:t>
            </w:r>
            <w:r>
              <w:t xml:space="preserve"> total romperá estos canales. - Búsqueda web con Brave: Requiere acceso a </w:t>
            </w:r>
            <w:r>
              <w:rPr>
                <w:rFonts w:ascii="Courier New" w:hAnsi="Courier New"/>
                <w:sz w:val="16"/>
              </w:rPr>
              <w:t>api.search.brave.com</w:t>
            </w:r>
            <w:r>
              <w:t xml:space="preserve">. Sin acceso, el tool calling de búsqueda falla silenciosamente. - HuggingFace / modelos remotos: Si usa descarga de modelos dinámica, también requiere acceso.  Recomendación práctica: Use el modo </w:t>
            </w:r>
            <w:r>
              <w:rPr>
                <w:rFonts w:ascii="Courier New" w:hAnsi="Courier New"/>
                <w:sz w:val="16"/>
              </w:rPr>
              <w:t>allowlist</w:t>
            </w:r>
            <w:r>
              <w:t xml:space="preserve"> en lugar del modo </w:t>
            </w:r>
            <w:r>
              <w:rPr>
                <w:rFonts w:ascii="Courier New" w:hAnsi="Courier New"/>
                <w:sz w:val="16"/>
              </w:rPr>
              <w:t>offline</w:t>
            </w:r>
            <w:r>
              <w:t xml:space="preserve"> total. Configure una whitelist específica con los IPs y dominios que realmente necesita:  </w:t>
            </w:r>
            <w:r>
              <w:rPr>
                <w:rFonts w:ascii="Courier New" w:hAnsi="Courier New"/>
                <w:sz w:val="16"/>
              </w:rPr>
              <w:t>`</w:t>
            </w:r>
            <w:r>
              <w:t xml:space="preserve">bash # Whitelist mínima recomendada para stack completo con Telegram + Brave nemoclaw config set network.outbound.mode allowlist nemoclaw config set network.outbound.allowlist '[ "localhost", "127.0.0.1", "192.168.0.0/16", "api.telegram.org", "api.search.brave.com", "huggingface.co" ]' </w:t>
            </w:r>
            <w:r>
              <w:rPr>
                <w:rFonts w:ascii="Courier New" w:hAnsi="Courier New"/>
                <w:sz w:val="16"/>
              </w:rPr>
              <w:t>`</w:t>
            </w:r>
            <w:r>
              <w:t xml:space="preserve">  El modo </w:t>
            </w:r>
            <w:r>
              <w:rPr>
                <w:rFonts w:ascii="Courier New" w:hAnsi="Courier New"/>
                <w:sz w:val="16"/>
              </w:rPr>
              <w:t>offline</w:t>
            </w:r>
            <w:r>
              <w:t xml:space="preserve"> total solo es apropiado cuando el Jetson opera en una red aislada (laboratorio, entorno corporativo sin internet) y todos los modelos están ya descargados localmente. Asegúrese de que estas políticas sean coherentes con los demás stacks del libro — por ejemplo, el bot de Telegram del Capítulo 20 y el agente RAG del Capítulo 25 requieren acceso a APIs externas.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13B.5.3 Aislamiento del Sistema de Archivos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Definir directorios que el agente puede leer/escribir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config set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filesystem.allowedPaths '["/home/jetson/.openclaw/workspace","/tmp/agent-sandbox"]'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el directorio sandbox si no existe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/tmp/agent-sandbox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configuración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config get filesystem.allowedPaths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13B.6 Recuperación Post-Reinicio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833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88025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3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Ejemplo concreto — restaurar el stack con vLLM + Gemma 4 E2B: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PASO 1: Iniciar motor de inferencia (script del Capitulo 13A)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mode-vllm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Espera internamente hasta que vLLM responda en :8000 (~3 min primer modelo)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PASO 2: Verificar que el motor esta listo antes de continuar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http://localhost:8000/v1/models &gt; /dev/null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"[OK] vLLM activo" || echo "[ERROR] vLLM no responde"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PASO 3: Iniciar OpenClaw 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gateway 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sleep 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doctor | grep -E "Model:|Gateway:"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Salida: [OK] Gateway: running | [OK] Model: vllm/gemma4-e2b (connected)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PASO 4: Iniciar NemoClaw proxy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sleep 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status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Salida: NemoClaw Proxy: running on :18788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        OpenClaw Gateway: connected via proxy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        Inference: local @ http://localhost:8000/v1 [OK]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PASO 5: Verificacion final del stack completo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http://localhost:18789/health &amp;&amp; echo "[OK] Stack agéntico activo en :18789"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Script de restauracion rapida (guarda los 5 pasos en un alias):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~/scripts/start-agent-stack.sh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#!/usr/bin/env 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start-agent-stack.sh -- Restaura el stack agéntico (OpenClaw + NemoClaw)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Uso: start-agent-stack.sh [vllm-gemma|lite-gemma|longdoc|ollama]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set -euo pipefail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MODE=${1:-"vllm-gemma"}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"=== Iniciando stack agéntico (modo: $MODE) ==="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1. Motor de inferencia via switch-model.sh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~/scripts/switch-model.sh "$MODE"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2. OpenClaw 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"Iniciando OpenClaw..."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gateway 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sleep 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doctor | grep -E "Model:|Gateway:|Error:"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3. NemoClaw proxy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"Iniciando NemoClaw..."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sleep 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status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4. Verificacion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http://localhost:18789/health &amp;&amp; echo "[OK] Stack completo en :18789" ||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"[WARN] Gateway no responde -- revisar logs con: openclaw logs --tail 20"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~/scripts/start-agent-stack.sh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alias a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start-stack='~/scripts/start-agent-stack.sh'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start-stack-lite='~/scripts/start-agent-stack.sh lite-gemma'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stop-stack='~/scripts/switch-model.sh stop &amp;&amp; nemoclaw stop 2&gt;/dev/null; echo "[OK] Stack detenido"'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~/.bash_aliases || source ~/.bashrc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Uso tras reinicio: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start-stack           # Stack con vLLM + Gemma 4 E2B (defecto)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start-stack-lite      # Stack con llama.cpp + Gemma GGUF (bajo consumo)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stop-stack            # Detener todo, volver a 15W idle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13B.7 Monitoreo en Tiempo Real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logs del proxy en tiempo real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logs --follow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Filtrar solo solicitudes rechazadas por políticas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logs --follow | grep -i "denied\|blocked\|policy"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estadísticas de tráfico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stats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conexiones activas al proxy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ss -tlnp | grep 18789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el proxy está interceptando correctamente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http://localhost:18789/health | python3 -m json.tool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13B.8 Aliases para el Día a Día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al ~/.bashrc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&gt;&gt; ~/.bashrc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NemoClaw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nemoclaw-start='nemoclaw start &amp;&amp; sleep 3 &amp;&amp; nemoclaw status'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nemoclaw-stop='nemoclaw stop &amp;&amp; echo "NemoClaw proxy detenido"'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nemoclaw-restart='nemoclaw restart &amp;&amp; sleep 3 &amp;&amp; nemoclaw status'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nemoclaw-status='nemoclaw status'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nemoclaw-logs='nemoclaw logs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nemoclaw-policies='nemoclaw policies list --verbose'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~/.bashrc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13B.9 Solución de Problemas</w:t>
      </w: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NemoClaw no arranca después del reinicio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Causa más común: el motor de inferencia no está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http://localhost:8000/v1/models &gt; 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"[OK] vLLM activo"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"[ERROR] vLLM inactivo — ejecute start-qwen35 primero"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Después de confirmar el motor, reiniciar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restart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status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El proxy arranca pero OpenClaw no conecta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el gateway interno de OpenClaw está en el puerto correcto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gateway status | grep -E "port|running"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Esperado: running on port 18788 (interno) o 18789 (si NemoClaw no está activo)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OpenClaw muestra puerto 18789 y NemoClaw también intenta tomar 18789: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solo uno puede estar en ese puerto — detenga el gateway y reinicie el stack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gateway stop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restart  # NemoClaw tomará 18789 y conectará a OpenClaw en 18788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Las políticas no se aplican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las políticas están cargadas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policies list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Recargar políticas sin reiniciar el proxy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policies reload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el problema persiste, reiniciar completamente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nemoclaw restart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Resumen del Capítulo 11B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NemoClaw añade tres capas de seguridad sobre el bot de Telegram del Capítulo 11A: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Políticas L7 REST</w:t>
      </w:r>
      <w:r>
        <w:rPr>
          <w:sz w:val="20"/>
        </w:rPr>
        <w:t xml:space="preserve"> — bloquea rutas de API específicas antes de que lleguen al agente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Aislamiento de sistema de archivos</w:t>
      </w:r>
      <w:r>
        <w:rPr>
          <w:sz w:val="20"/>
        </w:rPr>
        <w:t xml:space="preserve"> — el agente solo accede a directorios explícitamente permitidos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Control de red</w:t>
      </w:r>
      <w:r>
        <w:rPr>
          <w:sz w:val="20"/>
        </w:rPr>
        <w:t xml:space="preserve"> — modo offline, allowlist, o permisivo para las solicitudes salientes</w:t>
      </w:r>
    </w:p>
    <w:p>
      <w:pPr>
        <w:spacing w:before="0"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29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8744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ChapterBodyText"/>
        <w:spacing w:before="100" w:after="100" w:line="240" w:lineRule="auto"/>
      </w:pPr>
      <w:r>
        <w:rPr>
          <w:sz w:val="20"/>
        </w:rPr>
        <w:t>El capítulo siguiente (13C) cubre Open WebUI con SSL local — necesario para habilitar el microfono en el navegador y construir el proyecto de aprendizaje de inglés con Nemotron Omni multimodal.</w:t>
      </w:r>
    </w:p>
    <w:sectPr w:rsidR="00987D79" w:rsidRPr="00C40C47" w:rsidSect="00044E3A">
      <w:footerReference w:type="first" r:id="rId43"/>
      <w:headerReference w:type="default" r:id="rId46"/>
      <w:footerReference w:type="default" r:id="rId47"/>
      <w:headerReference w:type="even" r:id="rId48"/>
      <w:footerReference w:type="even" r:id="rId49"/>
      <w:headerReference w:type="first" r:id="rId50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Relationship Id="rId46" Type="http://schemas.openxmlformats.org/officeDocument/2006/relationships/header" Target="header3.xml"/><Relationship Id="rId47" Type="http://schemas.openxmlformats.org/officeDocument/2006/relationships/footer" Target="footer34.xml"/><Relationship Id="rId48" Type="http://schemas.openxmlformats.org/officeDocument/2006/relationships/header" Target="header4.xml"/><Relationship Id="rId49" Type="http://schemas.openxmlformats.org/officeDocument/2006/relationships/footer" Target="footer35.xml"/><Relationship Id="rId50" Type="http://schemas.openxmlformats.org/officeDocument/2006/relationships/header" Target="header5.xml"/><Relationship Id="rId51" Type="http://schemas.openxmlformats.org/officeDocument/2006/relationships/image" Target="media/image1.png"/><Relationship Id="rId52" Type="http://schemas.openxmlformats.org/officeDocument/2006/relationships/image" Target="media/image2.png"/><Relationship Id="rId5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