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720" w:after="120"/>
      </w:pPr>
      <w:r>
        <w:t>Parte A — Cimientos</w:t>
      </w:r>
    </w:p>
    <w:p>
      <w:pPr>
        <w:pStyle w:val="Heading2"/>
        <w:spacing w:before="80" w:after="280"/>
      </w:pPr>
      <w:r>
        <w:t>Domina tu Jetson AGX Orin desde cero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Esta parte transforma un dispositivo recién sacado de la caja en una plataforma de inteligencia artificial completamente operativa. Sin atajos, sin suponer conocimientos previos sobre el ecosistema NVIDIA: desde el primer arranque hasta un stack de IA agéntica en producción.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Los dieciocho capítulos de esta parte forman una secuencia acumulativa. Cada configuración que realice se convierte en el andamiaje sobre el que descansan los siguientes capítulos y todos los proyectos de las Partes B y C. Tómese el tiempo necesario en cada uno: la solidez de sus resultados finales depende de la calidad de estos cimientos.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Lo que logrará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Inicio Rápido y Hardware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Conocer las especificaciones exactas de su Jetson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Primer Arranque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Sistema operativo instalado y funcional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Configuración Base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Usuarios, red, servicios esenciales configurados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Memoria y Almacenamiento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Swap, ZRAM y NVMe optimizados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Rendimiento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Perfiles de potencia y frecuencia de reloj ajustados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Entorno de Shell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Aliases, scripts y herramientas de desarrollo listas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Red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Sysctl, BBR y DNS-over-TLS configurados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IDE Remoto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VSCode, PyCharm y SSH listos para trabajar desde su PC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Docker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NVIDIA Container Toolkit operativo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Motores de Inferencia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Ollama, llama.cpp y vLLM instalados y verificados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Stack Agéntico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OpenClaw, NemoClaw y Open WebUI funcionando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11A–11D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Subcapítulos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OpenClaw, NemoClaw, Open WebUI y Tool Calling en detalle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Computer Vision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Pipeline de visión artificial con GPU acelerado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TTS y STT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Síntesis y reconocimiento de voz en español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Imagen y Video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ComfyUI y Stable Diffusion WebUI operativos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N8N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Automatización de flujos de trabajo con IA local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Benchmarking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Los 10 mejores modelos evaluados en su hardware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Producción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Hardening, watchdogs, firewall y monitoreo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Troubleshooting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Diagnóstico y solución de los errores más comunes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>Si ya tiene el Jetson configurado y JetPack 7.2 instalado, puede comenzar directamente en el Capítulo 6 (entorno de shell). Sin embargo, revise al menos los Capítulos 4 y 5 para asegurarse de que el almacenamiento y el rendimiento estén correctamente ajustados antes de ejecutar modelos de IA.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headerReference w:type="default" r:id="rId46"/>
      <w:footerReference w:type="default" r:id="rId47"/>
      <w:headerReference w:type="even" r:id="rId48"/>
      <w:footerReference w:type="even" r:id="rId49"/>
      <w:headerReference w:type="first" r:id="rId50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header" Target="header3.xml"/><Relationship Id="rId47" Type="http://schemas.openxmlformats.org/officeDocument/2006/relationships/footer" Target="footer34.xml"/><Relationship Id="rId48" Type="http://schemas.openxmlformats.org/officeDocument/2006/relationships/header" Target="header4.xml"/><Relationship Id="rId49" Type="http://schemas.openxmlformats.org/officeDocument/2006/relationships/footer" Target="footer35.xml"/><Relationship Id="rId50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