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A — Cimientos</w:t>
      </w:r>
    </w:p>
    <w:p>
      <w:pPr>
        <w:pStyle w:val="Heading2"/>
        <w:spacing w:before="80" w:after="280"/>
      </w:pPr>
      <w:r>
        <w:t>Domina tu Jetson AGX Orin desde cero</w:t>
      </w:r>
    </w:p>
    <w:p>
      <w:pPr>
        <w:pStyle w:val="Endure-FirstParagraphBodyText"/>
      </w:pPr>
      <w:r>
        <w:t>Esta parte transforma un dispositivo recién sacado de la caja en una plataforma de inteligencia artificial completamente operativa. Sin atajos, sin suponer conocimientos previos sobre el ecosistema NVIDIA: desde el primer arranque hasta un stack de IA agéntica en producción.</w:t>
      </w:r>
    </w:p>
    <w:p>
      <w:pPr>
        <w:pStyle w:val="Endure-ChapterBodyText"/>
      </w:pPr>
      <w:r>
        <w:t>Los dieciocho capítulos de esta parte forman una secuencia acumulativa. Cada configuración que realice se convierte en el andamiaje sobre el que descansan los siguientes capítulos y todos los proyectos de las Partes B y C. Tómese el tiempo necesario en cada uno: la solidez de sus resultados finales depende de la calidad de estos cimientos.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Capítulo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Lo que logrará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Inicio Rápido y Hardware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Conocer las especificaciones exactas de su Jetson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Primer Arranque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Sistema operativo instalado y funcional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Configuración Base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Usuarios, red, servicios esenciales configurados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Memoria y Almacenamiento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Swap, ZRAM y NVMe optimizados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Rendimiento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Perfiles de potencia y frecuencia de reloj ajustados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Entorno de Shell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Aliases, scripts y herramientas de desarrollo listas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Red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Sysctl, BBR y DNS-over-TLS configurados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IDE Remoto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VSCode, PyCharm y SSH listos para trabajar desde su PC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Docker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NVIDIA Container Toolkit operativo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Motores de Inferencia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Ollama, llama.cpp y vLLM instalados y verificados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Stack Agéntico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OpenClaw, NemoClaw y Open WebUI funcionando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11A–11D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Subcapítulos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OpenClaw, NemoClaw, Open WebUI y Tool Calling en detalle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Computer Vision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Pipeline de visión artificial con GPU acelerado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TTS y STT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Síntesis y reconocimiento de voz en español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Imagen y Video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ComfyUI y Stable Diffusion WebUI operativos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N8N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Automatización de flujos de trabajo con IA local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Benchmarking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Los 10 mejores modelos evaluados en su hardware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Producción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Hardening, watchdogs, firewall y monitoreo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Troubleshooting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Diagnóstico y solución de los errores más comunes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Si ya tiene el Jetson configurado y JetPack 7.2 instalado, puede comenzar directamente en el Capítulo 6 (entorno de shell). Sin embargo, revise al menos los Capítulos 4 y 5 para asegurarse de que el almacenamiento y el rendimiento estén correctamente ajustados antes de ejecutar modelos de IA.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