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keepNext/>
        <w:spacing w:before="720" w:after="120"/>
      </w:pPr>
      <w:r>
        <w:t>Parte B — Manos a la Obra</w:t>
      </w:r>
    </w:p>
    <w:p>
      <w:pPr>
        <w:pStyle w:val="Heading2"/>
        <w:spacing w:before="80" w:after="280"/>
      </w:pPr>
      <w:r>
        <w:t>Diez proyectos reales con IA local en el Jetson AGX Orin</w:t>
      </w:r>
    </w:p>
    <w:p>
      <w:pPr>
        <w:pStyle w:val="Endure-FirstParagraphBodyText"/>
      </w:pPr>
      <w:r>
        <w:t>Esta parte es el puente entre el conocimiento técnico y el valor tangible. Con la infraestructura de la Parte A completamente operativa, aquí construirá diez proyectos prácticos que resuelven necesidades reales: automatización empresarial, procesamiento de audio y documentos, generación de contenido, atención al cliente y exposición de servicios a Internet.</w:t>
      </w:r>
    </w:p>
    <w:p>
      <w:pPr>
        <w:pStyle w:val="Endure-ChapterBodyText"/>
      </w:pPr>
      <w:r>
        <w:t>Cada proyecto está diseñado para ser completamente funcional desde el primer día, adaptable a su caso de uso específico y extensible mediante las secciones de escalabilidad incluidas en cada capítulo.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Capítulo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Proyecto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Tecnologías principales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Entorno Python + VSCode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Python 3.12, venv, PyTorch, CUDA 13.2.1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jetson-containers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Docker, dustynv containers, JetPack 7.2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PDF a Pódcast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TTS, LLM, pipeline offline completo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Bot de Transcripción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Faster-Whisper, LLM, Telegram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Agencia de Turismo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OpenClaw, NemoClaw, RAG, herramientas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Embudo de Ventas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Ollama, pipeline de generación, Telegram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Contenido para LinkedIn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Hermes-3, adaptación de estilo, publicación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Asistente de Voz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llama.cpp, Whisper, TTS, latencia &lt;500ms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RAG Empresarial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ChromaDB, nomic-embed-text, vLLM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Microservicios SAAS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Cloudflare Tunnel, SSL, JWT, exposición a Internet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 xml:space="preserve">Antes de comenzar cada proyecto, ejecute </w:t>
            </w:r>
            <w:r>
              <w:rPr>
                <w:rFonts w:ascii="Courier New" w:hAnsi="Courier New"/>
                <w:sz w:val="17"/>
              </w:rPr>
              <w:t>jetson-mem</w:t>
            </w:r>
            <w:r>
              <w:t xml:space="preserve"> para verificar la memoria disponible. Si hay contenedores de proyectos anteriores corriendo, deténgalos con </w:t>
            </w:r>
            <w:r>
              <w:rPr>
                <w:rFonts w:ascii="Courier New" w:hAnsi="Courier New"/>
                <w:sz w:val="17"/>
              </w:rPr>
              <w:t>docker stop $(docker ps -q)</w:t>
            </w:r>
            <w:r>
              <w:t xml:space="preserve"> para liberar VRAM. Todos los proyectos incluyen instrucciones de limpieza al final de su capítulo.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Los proyectos de esta parte están diseñados para ejecutarse de forma independiente. Sin embargo, los Capítulos 23 (Turismo) y 24 (Embudo de Ventas) requieren OpenClaw instalado (Capítulo 11A), y el Capítulo 27 (RAG) requiere que Ollama esté corriendo con el modelo </w:t>
            </w:r>
            <w:r>
              <w:rPr>
                <w:rFonts w:ascii="Courier New" w:hAnsi="Courier New"/>
                <w:sz w:val="17"/>
              </w:rPr>
              <w:t>nomic-embed-text</w:t>
            </w:r>
            <w:r>
              <w:t xml:space="preserve"> disponible.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