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  <w:keepNext/>
        <w:spacing w:before="720" w:after="120"/>
      </w:pPr>
      <w:r>
        <w:t>Parte C — Capstone</w:t>
      </w:r>
    </w:p>
    <w:p>
      <w:pPr>
        <w:pStyle w:val="Heading2"/>
        <w:spacing w:before="80" w:after="280"/>
      </w:pPr>
      <w:r>
        <w:t>Proyectos de alto impacto que integran todo lo aprendido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Esta parte es la culminación del libro. Los dos proyectos Capstone no son ejercicios académicos: son sistemas de producción completos que integran simultáneamente los motores de inferencia, el stack agéntico, las herramientas de automatización, la visión artificial, la síntesis de voz y la infraestructura de despliegue que construyó a lo largo de las Partes A y B.</w:t>
      </w:r>
    </w:p>
    <w:p>
      <w:pPr>
        <w:pStyle w:val="Endure-ChapterBodyText"/>
        <w:spacing w:before="100" w:after="100" w:line="240" w:lineRule="auto"/>
      </w:pPr>
      <w:r>
        <w:rPr>
          <w:sz w:val="20"/>
        </w:rPr>
        <w:t>Un proyecto Capstone demuestra que el conocimiento es funcional cuando se combina. Aquí no hay andamiajes ni simplificaciones: trabaja con la misma arquitectura que una agencia de IA real, el mismo pipeline que un creador de contenido profesional.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Proyecto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Tecnologías integradas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Capstone 01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Agencia de IA con Presencia Web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OpenClaw + NemoClaw + Open WebUI + Cloudflare Tunnel + JWT + SSL + monitoreo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Capstone 02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Automatización de YouTube Shorts y TikTok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LLM + TTS + SD WebUI + AnimateDiff + ffmpeg + pipeline editorial completo</w:t>
            </w:r>
          </w:p>
        </w:tc>
      </w:tr>
    </w:tbl>
    <w:p>
      <w:pPr>
        <w:spacing w:before="0" w:after="120"/>
      </w:pPr>
    </w:p>
    <w:p>
      <w:pPr>
        <w:pStyle w:val="Heading2"/>
        <w:spacing w:before="80" w:after="280"/>
      </w:pPr>
      <w:r>
        <w:t>Antes de comenzar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Los proyectos Capstone asumen que los siguientes servicios están instalados y verificados: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Para Capstone 01: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OpenClaw y NemoClaw (Cap. 11A y 11B)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Open WebUI (Cap. 11C)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N8N operativo (Cap. 15)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Microservicios y Cloudflare Tunnel configurados (Cap. 28)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Al menos un motor de inferencia corriendo (Ollama o vLLM)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Para Capstone 02: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Ollama o llama.cpp con un modelo de 7B disponible (Cap. 10)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TTS configurado (Cap. 13)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SD WebUI o ComfyUI instalados (Cap. 14)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ffmpeg disponible (</w:t>
      </w:r>
      <w:r>
        <w:rPr>
          <w:rFonts w:ascii="Courier New" w:hAnsi="Courier New"/>
          <w:sz w:val="16"/>
        </w:rPr>
        <w:t>sudo apt install -y ffmpeg</w:t>
      </w:r>
      <w:r>
        <w:rPr>
          <w:sz w:val="20"/>
        </w:rPr>
        <w:t>)</w:t>
      </w:r>
    </w:p>
    <w:p>
      <w:pPr>
        <w:spacing w:before="0" w:after="80"/>
      </w:pPr>
    </w:p>
    <w:p>
      <w:pPr>
        <w:pStyle w:val="Heading2"/>
        <w:spacing w:before="80" w:after="280"/>
      </w:pPr>
      <w:r>
        <w:t>Gestión de memoria en proyectos Capstone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Con 64 GB de memoria unificada, el Jetson AGX Orin puede ejecutar stacks complejos, pero cada recurso ocupa espacio. La siguiente tabla muestra los umbrales de referencia: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4076"/>
        <w:gridCol w:w="4076"/>
      </w:tblGrid>
      <w:tr>
        <w:trPr>
          <w:trHeight w:val="453" w:hRule="atLeast"/>
          <w:tblHeader/>
        </w:trPr>
        <w:tc>
          <w:tcPr>
            <w:tcW w:type="dxa" w:w="4076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Estado del sistema</w:t>
            </w:r>
          </w:p>
        </w:tc>
        <w:tc>
          <w:tcPr>
            <w:tcW w:type="dxa" w:w="4076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Uso estimado de RAM unificada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Sistema operativo (reposo)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~12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Ollama con modelo 7B cargado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~18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 con modelo 13B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~28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SD WebUI con SDXL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~10–14 GB adicionales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Pipeline Capstone 01 completo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~42–46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Pipeline Capstone 02 (secuencial)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~20–24 GB (pico)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ADVERTENCIA: </w:t>
            </w:r>
            <w:r>
              <w:t xml:space="preserve">No intente ejecutar ambos proyectos Capstone simultáneamente. Utilice </w:t>
            </w:r>
            <w:r>
              <w:rPr>
                <w:rFonts w:ascii="Courier New" w:hAnsi="Courier New"/>
                <w:sz w:val="16"/>
              </w:rPr>
              <w:t>jetson-mem</w:t>
            </w:r>
            <w:r>
              <w:t xml:space="preserve"> antes de lanzar cada componente y detenga los servicios del proyecto anterior antes de comenzar el siguiente.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1A5A6A"/>
              <w:bottom w:val="single" w:sz="4" w:color="1A5A6A"/>
              <w:right w:val="single" w:sz="4" w:color="1A5A6A"/>
              <w:left w:val="single" w:sz="16" w:color="1A5A6A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1A5A6A"/>
                <w:sz w:val="18"/>
              </w:rPr>
              <w:t xml:space="preserve">CONSEJO: </w:t>
            </w:r>
            <w:r>
              <w:t xml:space="preserve">Si durante el desarrollo de un Capstone experimenta errores de OOM (Out of Memory), ejecute </w:t>
            </w:r>
            <w:r>
              <w:rPr>
                <w:rFonts w:ascii="Courier New" w:hAnsi="Courier New"/>
                <w:sz w:val="16"/>
              </w:rPr>
              <w:t>docker stop $(docker ps -q) &amp;&amp; sudo sync &amp;&amp; echo 3 | sudo tee /proc/sys/vm/drop_caches</w:t>
            </w:r>
            <w:r>
              <w:t xml:space="preserve"> para liberar memoria y reintentar.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headerReference w:type="default" r:id="rId46"/>
      <w:footerReference w:type="default" r:id="rId47"/>
      <w:headerReference w:type="even" r:id="rId48"/>
      <w:footerReference w:type="even" r:id="rId49"/>
      <w:headerReference w:type="first" r:id="rId50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header" Target="header3.xml"/><Relationship Id="rId47" Type="http://schemas.openxmlformats.org/officeDocument/2006/relationships/footer" Target="footer34.xml"/><Relationship Id="rId48" Type="http://schemas.openxmlformats.org/officeDocument/2006/relationships/header" Target="header4.xml"/><Relationship Id="rId49" Type="http://schemas.openxmlformats.org/officeDocument/2006/relationships/footer" Target="footer35.xml"/><Relationship Id="rId50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