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720" w:after="120"/>
      </w:pPr>
      <w:r>
        <w:t>Parte C — Capstone</w:t>
      </w:r>
    </w:p>
    <w:p>
      <w:pPr>
        <w:pStyle w:val="Heading2"/>
        <w:spacing w:before="80" w:after="280"/>
      </w:pPr>
      <w:r>
        <w:t>Proyectos de alto impacto que integran todo lo aprendido</w:t>
      </w:r>
    </w:p>
    <w:p>
      <w:pPr>
        <w:pStyle w:val="Endure-FirstParagraphBodyText"/>
        <w:spacing w:before="100" w:after="100"/>
      </w:pPr>
      <w:r>
        <w:rPr>
          <w:sz w:val="20"/>
        </w:rPr>
        <w:t>Esta parte es la culminación del libro. Los dos proyectos Capstone no son ejercicios académicos: son sistemas de producción completos que integran simultáneamente los motores de inferencia, el stack agéntico, las herramientas de automatización, la visión artificial, la síntesis de voz y la infraestructura de despliegue que construyó a lo largo de las Partes A y B.</w:t>
      </w:r>
    </w:p>
    <w:p>
      <w:pPr>
        <w:pStyle w:val="Endure-ChapterBodyText"/>
        <w:spacing w:before="100" w:after="100"/>
      </w:pPr>
      <w:r>
        <w:rPr>
          <w:sz w:val="20"/>
        </w:rPr>
        <w:t>Un proyecto Capstone demuestra que el conocimiento es funcional cuando se combina. Aquí no hay andamiajes ni simplificaciones: trabaja con la misma arquitectura que una agencia de IA real, el mismo pipeline que un creador de contenido profesional.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Tecnologías integradas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Capstone 01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Agencia de IA con Presencia Web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OpenClaw + NemoClaw + Open WebUI + Cloudflare Tunnel + JWT + SSL + monitoreo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Capstone 02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Automatización de YouTube Shorts y TikTok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LLM + TTS + SD WebUI + AnimateDiff + ffmpeg + pipeline editorial completo</w:t>
            </w:r>
          </w:p>
        </w:tc>
      </w:tr>
    </w:tbl>
    <w:p>
      <w:pPr>
        <w:spacing w:before="0" w:after="120"/>
      </w:pPr>
    </w:p>
    <w:p>
      <w:pPr>
        <w:pStyle w:val="Heading2"/>
        <w:spacing w:before="80" w:after="280"/>
      </w:pPr>
      <w:r>
        <w:t>Antes de comenzar</w:t>
      </w:r>
    </w:p>
    <w:p>
      <w:pPr>
        <w:pStyle w:val="Endure-FirstParagraphBodyText"/>
        <w:spacing w:before="100" w:after="100"/>
      </w:pPr>
      <w:r>
        <w:rPr>
          <w:sz w:val="20"/>
        </w:rPr>
        <w:t>Los proyectos Capstone asumen que los siguientes servicios están instalados y verificados:</w:t>
      </w:r>
    </w:p>
    <w:p>
      <w:pPr>
        <w:pStyle w:val="Endure-ChapterBodyText"/>
        <w:spacing w:before="100" w:after="100"/>
      </w:pPr>
      <w:r>
        <w:rPr>
          <w:b/>
          <w:sz w:val="20"/>
        </w:rPr>
        <w:t>Para Capstone 01: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OpenClaw y NemoClaw (Cap. 11A y 11B)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Open WebUI (Cap. 11C)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N8N operativo (Cap. 15)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Microservicios y Cloudflare Tunnel configurados (Cap. 28)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Al menos un motor de inferencia corriendo (Ollama o vLLM)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Para Capstone 02: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Ollama o llama.cpp con un modelo de 7B disponible (Cap. 10)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TTS configurado (Cap. 13)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SD WebUI o ComfyUI instalados (Cap. 14)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ffmpeg disponible (</w:t>
      </w:r>
      <w:r>
        <w:rPr>
          <w:rFonts w:ascii="Courier New" w:hAnsi="Courier New"/>
          <w:sz w:val="16"/>
        </w:rPr>
        <w:t>sudo apt install -y ffmpeg</w:t>
      </w:r>
      <w:r>
        <w:rPr>
          <w:sz w:val="20"/>
        </w:rPr>
        <w:t>)</w:t>
      </w:r>
    </w:p>
    <w:p>
      <w:pPr>
        <w:spacing w:before="0" w:after="80"/>
      </w:pPr>
    </w:p>
    <w:p>
      <w:pPr>
        <w:pStyle w:val="Heading2"/>
        <w:spacing w:before="80" w:after="280"/>
      </w:pPr>
      <w:r>
        <w:t>Gestión de memoria en proyectos Capstone</w:t>
      </w:r>
    </w:p>
    <w:p>
      <w:pPr>
        <w:pStyle w:val="Endure-FirstParagraphBodyText"/>
        <w:spacing w:before="100" w:after="100"/>
      </w:pPr>
      <w:r>
        <w:rPr>
          <w:sz w:val="20"/>
        </w:rPr>
        <w:t>Con 64 GB de memoria unificada, el Jetson AGX Orin puede ejecutar stacks complejos, pero cada recurso ocupa espacio. La siguiente tabla muestra los umbrales de referencia: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Estado del sistema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Uso estimado de RAM unificada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Sistema operativo (reposo)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con modelo 7B cargado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~18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con modelo 13B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~28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SD WebUI con SDXL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~10–14 GB adicionales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Pipeline Capstone 01 completo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~42–46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Pipeline Capstone 02 (secuencial)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~20–24 GB (pico)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No intente ejecutar ambos proyectos Capstone simultáneamente. Utilice </w:t>
            </w:r>
            <w:r>
              <w:rPr>
                <w:rFonts w:ascii="Courier New" w:hAnsi="Courier New"/>
                <w:sz w:val="16"/>
              </w:rPr>
              <w:t>jetson-mem</w:t>
            </w:r>
            <w:r>
              <w:t xml:space="preserve"> antes de lanzar cada componente y detenga los servicios del proyecto anterior antes de comenzar el siguiente.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 xml:space="preserve">Si durante el desarrollo de un Capstone experimenta errores de OOM (Out of Memory), ejecute </w:t>
            </w:r>
            <w:r>
              <w:rPr>
                <w:rFonts w:ascii="Courier New" w:hAnsi="Courier New"/>
                <w:sz w:val="16"/>
              </w:rPr>
              <w:t>docker stop $(docker ps -q) &amp;&amp; sudo sync &amp;&amp; echo 3 | sudo tee /proc/sys/vm/drop_caches</w:t>
            </w:r>
            <w:r>
              <w:t xml:space="preserve"> para liberar memoria y reintentar.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