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73621" w14:textId="77777777" w:rsidR="00DC1992" w:rsidRPr="009147DF" w:rsidRDefault="00DC1992" w:rsidP="009147DF">
      <w:pPr>
        <w:pStyle w:val="Ttulo1"/>
        <w:jc w:val="center"/>
        <w:rPr>
          <w:b/>
          <w:caps/>
          <w:sz w:val="24"/>
          <w:szCs w:val="28"/>
          <w:lang w:val="en-US"/>
        </w:rPr>
      </w:pPr>
      <w:r w:rsidRPr="009147DF">
        <w:rPr>
          <w:b/>
          <w:caps/>
          <w:sz w:val="24"/>
          <w:szCs w:val="28"/>
          <w:lang w:val="en-US"/>
        </w:rPr>
        <w:t>Correlation between particle size and thermoluminescence response of beta irradiated hpht synthetic nanodiamond</w:t>
      </w:r>
    </w:p>
    <w:p w14:paraId="1B6481F5" w14:textId="77777777" w:rsidR="00DC1992" w:rsidRPr="009147DF" w:rsidRDefault="00DC1992" w:rsidP="009147DF">
      <w:pPr>
        <w:rPr>
          <w:sz w:val="20"/>
          <w:szCs w:val="20"/>
          <w:lang w:eastAsia="de-DE"/>
        </w:rPr>
      </w:pPr>
    </w:p>
    <w:p w14:paraId="79DA521E" w14:textId="77777777" w:rsidR="00DC1992" w:rsidRPr="009147DF" w:rsidRDefault="00DC1992" w:rsidP="009147DF">
      <w:pPr>
        <w:pStyle w:val="Ttulo2"/>
        <w:spacing w:before="0" w:after="0" w:line="240" w:lineRule="auto"/>
        <w:jc w:val="center"/>
        <w:rPr>
          <w:sz w:val="20"/>
          <w:lang w:val="es-MX"/>
        </w:rPr>
      </w:pPr>
      <w:r w:rsidRPr="009147DF">
        <w:rPr>
          <w:sz w:val="20"/>
          <w:lang w:val="es-MX"/>
        </w:rPr>
        <w:t>C.F. Ruiz-Valdez</w:t>
      </w:r>
      <w:proofErr w:type="gramStart"/>
      <w:r w:rsidRPr="009147DF">
        <w:rPr>
          <w:sz w:val="20"/>
          <w:vertAlign w:val="superscript"/>
          <w:lang w:val="es-MX"/>
        </w:rPr>
        <w:t>1,*</w:t>
      </w:r>
      <w:proofErr w:type="gramEnd"/>
      <w:r w:rsidRPr="009147DF">
        <w:rPr>
          <w:sz w:val="20"/>
          <w:lang w:val="es-MX"/>
        </w:rPr>
        <w:t>, R. Meléndrez</w:t>
      </w:r>
      <w:r w:rsidRPr="009147DF">
        <w:rPr>
          <w:sz w:val="20"/>
          <w:vertAlign w:val="superscript"/>
          <w:lang w:val="es-MX"/>
        </w:rPr>
        <w:t>2</w:t>
      </w:r>
      <w:r w:rsidRPr="009147DF">
        <w:rPr>
          <w:sz w:val="20"/>
          <w:lang w:val="es-MX"/>
        </w:rPr>
        <w:t>, D. Berman-Mendoza</w:t>
      </w:r>
      <w:r w:rsidRPr="009147DF">
        <w:rPr>
          <w:sz w:val="20"/>
          <w:vertAlign w:val="superscript"/>
          <w:lang w:val="es-MX"/>
        </w:rPr>
        <w:t>2</w:t>
      </w:r>
      <w:r w:rsidRPr="009147DF">
        <w:rPr>
          <w:sz w:val="20"/>
          <w:lang w:val="es-MX"/>
        </w:rPr>
        <w:t>, K. Santacruz-Gomez</w:t>
      </w:r>
      <w:r w:rsidRPr="009147DF">
        <w:rPr>
          <w:sz w:val="20"/>
          <w:vertAlign w:val="superscript"/>
          <w:lang w:val="es-MX"/>
        </w:rPr>
        <w:t>1</w:t>
      </w:r>
      <w:r w:rsidRPr="009147DF">
        <w:rPr>
          <w:sz w:val="20"/>
          <w:lang w:val="es-MX"/>
        </w:rPr>
        <w:t>, V. Chernov</w:t>
      </w:r>
      <w:r w:rsidRPr="009147DF">
        <w:rPr>
          <w:sz w:val="20"/>
          <w:vertAlign w:val="superscript"/>
          <w:lang w:val="es-MX"/>
        </w:rPr>
        <w:t>2</w:t>
      </w:r>
      <w:r w:rsidRPr="009147DF">
        <w:rPr>
          <w:sz w:val="20"/>
          <w:lang w:val="es-MX"/>
        </w:rPr>
        <w:t>, M. Barboza-Flores</w:t>
      </w:r>
      <w:r w:rsidRPr="009147DF">
        <w:rPr>
          <w:sz w:val="20"/>
          <w:vertAlign w:val="superscript"/>
          <w:lang w:val="es-MX"/>
        </w:rPr>
        <w:t>2</w:t>
      </w:r>
    </w:p>
    <w:p w14:paraId="478D38FE" w14:textId="77777777" w:rsidR="00DC1992" w:rsidRPr="009147DF" w:rsidRDefault="00DC1992" w:rsidP="009147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sz w:val="20"/>
          <w:szCs w:val="20"/>
          <w:lang w:val="es-MX"/>
        </w:rPr>
      </w:pPr>
      <w:r w:rsidRPr="009147DF">
        <w:rPr>
          <w:rFonts w:ascii="Times New Roman" w:hAnsi="Times New Roman"/>
          <w:i/>
          <w:sz w:val="20"/>
          <w:szCs w:val="20"/>
          <w:vertAlign w:val="superscript"/>
          <w:lang w:val="es-MX"/>
        </w:rPr>
        <w:t>1</w:t>
      </w:r>
      <w:r w:rsidRPr="009147DF">
        <w:rPr>
          <w:rFonts w:ascii="Times New Roman" w:hAnsi="Times New Roman"/>
          <w:i/>
          <w:color w:val="000000"/>
          <w:sz w:val="20"/>
          <w:szCs w:val="20"/>
          <w:lang w:val="es-MX"/>
        </w:rPr>
        <w:t xml:space="preserve"> </w:t>
      </w:r>
      <w:proofErr w:type="gramStart"/>
      <w:r w:rsidRPr="009147DF">
        <w:rPr>
          <w:rFonts w:ascii="Times New Roman" w:hAnsi="Times New Roman"/>
          <w:i/>
          <w:color w:val="000000"/>
          <w:sz w:val="20"/>
          <w:szCs w:val="20"/>
          <w:lang w:val="es-MX"/>
        </w:rPr>
        <w:t>Departamento</w:t>
      </w:r>
      <w:proofErr w:type="gramEnd"/>
      <w:r w:rsidRPr="009147DF">
        <w:rPr>
          <w:rFonts w:ascii="Times New Roman" w:hAnsi="Times New Roman"/>
          <w:i/>
          <w:color w:val="000000"/>
          <w:sz w:val="20"/>
          <w:szCs w:val="20"/>
          <w:lang w:val="es-MX"/>
        </w:rPr>
        <w:t xml:space="preserve"> de Física, Universidad de Sonora, Hermosillo, Sonora, 83000, México</w:t>
      </w:r>
    </w:p>
    <w:p w14:paraId="0FD037ED" w14:textId="77777777" w:rsidR="00DC1992" w:rsidRPr="009147DF" w:rsidRDefault="00DC1992" w:rsidP="009147DF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  <w:lang w:val="es-MX"/>
        </w:rPr>
      </w:pPr>
      <w:r w:rsidRPr="009147DF">
        <w:rPr>
          <w:rFonts w:ascii="Times New Roman" w:hAnsi="Times New Roman"/>
          <w:i/>
          <w:sz w:val="20"/>
          <w:szCs w:val="20"/>
          <w:vertAlign w:val="superscript"/>
          <w:lang w:val="es-MX"/>
        </w:rPr>
        <w:t>2</w:t>
      </w:r>
      <w:r w:rsidRPr="009147DF">
        <w:rPr>
          <w:rFonts w:ascii="Times New Roman" w:hAnsi="Times New Roman"/>
          <w:i/>
          <w:sz w:val="20"/>
          <w:szCs w:val="20"/>
          <w:lang w:val="es-MX"/>
        </w:rPr>
        <w:t>Departamento de Investigación en Física, Universidad de Sonora, Hermosillo, 83000, México</w:t>
      </w:r>
    </w:p>
    <w:p w14:paraId="41FE35CC" w14:textId="77777777" w:rsidR="00DC1992" w:rsidRPr="009147DF" w:rsidRDefault="00DC1992" w:rsidP="009147DF">
      <w:pPr>
        <w:spacing w:after="0" w:line="240" w:lineRule="auto"/>
        <w:jc w:val="center"/>
        <w:rPr>
          <w:rStyle w:val="Hipervnculo"/>
          <w:rFonts w:ascii="Times New Roman" w:hAnsi="Times New Roman"/>
          <w:sz w:val="20"/>
          <w:szCs w:val="20"/>
          <w:lang w:val="es-MX"/>
        </w:rPr>
      </w:pPr>
      <w:r w:rsidRPr="009147DF">
        <w:rPr>
          <w:rFonts w:ascii="Times New Roman" w:hAnsi="Times New Roman"/>
          <w:sz w:val="20"/>
          <w:szCs w:val="20"/>
          <w:vertAlign w:val="superscript"/>
          <w:lang w:val="es-MX"/>
        </w:rPr>
        <w:t>*</w:t>
      </w:r>
      <w:r w:rsidRPr="009147DF">
        <w:rPr>
          <w:rFonts w:ascii="Times New Roman" w:hAnsi="Times New Roman"/>
          <w:sz w:val="20"/>
          <w:szCs w:val="20"/>
          <w:lang w:val="es-MX"/>
        </w:rPr>
        <w:t xml:space="preserve">e-mail: </w:t>
      </w:r>
      <w:hyperlink r:id="rId7" w:history="1">
        <w:r w:rsidRPr="009147DF">
          <w:rPr>
            <w:rStyle w:val="Hipervnculo"/>
            <w:rFonts w:ascii="Times New Roman" w:hAnsi="Times New Roman"/>
            <w:sz w:val="20"/>
            <w:szCs w:val="20"/>
            <w:lang w:val="es-MX"/>
          </w:rPr>
          <w:t>carlosfr.ruizva@correoa.uson.mx</w:t>
        </w:r>
      </w:hyperlink>
    </w:p>
    <w:p w14:paraId="50629D83" w14:textId="77777777" w:rsidR="00DC1992" w:rsidRPr="009147DF" w:rsidRDefault="00DC1992" w:rsidP="009147DF">
      <w:pPr>
        <w:spacing w:after="0" w:line="240" w:lineRule="auto"/>
        <w:jc w:val="center"/>
        <w:rPr>
          <w:rStyle w:val="Hipervnculo"/>
          <w:rFonts w:ascii="Times New Roman" w:hAnsi="Times New Roman"/>
          <w:sz w:val="20"/>
          <w:szCs w:val="20"/>
          <w:lang w:val="es-MX"/>
        </w:rPr>
      </w:pPr>
    </w:p>
    <w:p w14:paraId="72419296" w14:textId="77777777" w:rsidR="00DC1992" w:rsidRPr="009147DF" w:rsidRDefault="00DC1992" w:rsidP="009147DF">
      <w:pPr>
        <w:spacing w:after="0" w:line="240" w:lineRule="auto"/>
        <w:jc w:val="center"/>
        <w:rPr>
          <w:rFonts w:ascii="Times New Roman" w:hAnsi="Times New Roman"/>
          <w:sz w:val="20"/>
          <w:szCs w:val="20"/>
          <w:u w:val="single"/>
          <w:lang w:val="es-MX"/>
        </w:rPr>
      </w:pPr>
    </w:p>
    <w:p w14:paraId="58A18930" w14:textId="77777777" w:rsidR="00DC1992" w:rsidRPr="009147DF" w:rsidRDefault="00DC1992" w:rsidP="009147DF">
      <w:pPr>
        <w:spacing w:after="120" w:line="259" w:lineRule="auto"/>
        <w:jc w:val="both"/>
        <w:rPr>
          <w:rFonts w:ascii="Times New Roman" w:hAnsi="Times New Roman"/>
          <w:sz w:val="20"/>
          <w:szCs w:val="20"/>
          <w:lang w:val="es-MX"/>
        </w:rPr>
      </w:pP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Diamond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based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dosimeters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are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desired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due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to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its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tissue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equivalent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atomic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number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as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well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as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being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a non-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toxic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material. In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this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work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,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present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thermoluminescence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(TL)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properties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of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HPHT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synthetic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nanodiamond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powders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with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mean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particle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sizes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of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60, 140, 380 and 660 nm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irradiated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with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up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to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3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kGy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of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r w:rsidRPr="009147DF">
        <w:rPr>
          <w:rFonts w:ascii="Times New Roman" w:hAnsi="Times New Roman"/>
          <w:sz w:val="20"/>
          <w:szCs w:val="20"/>
          <w:vertAlign w:val="superscript"/>
          <w:lang w:val="es-MX"/>
        </w:rPr>
        <w:t>90</w:t>
      </w:r>
      <w:r w:rsidRPr="009147DF">
        <w:rPr>
          <w:rFonts w:ascii="Times New Roman" w:hAnsi="Times New Roman"/>
          <w:sz w:val="20"/>
          <w:szCs w:val="20"/>
          <w:lang w:val="es-MX"/>
        </w:rPr>
        <w:t>Sr-</w:t>
      </w:r>
      <w:r w:rsidRPr="009147DF">
        <w:rPr>
          <w:rFonts w:ascii="Times New Roman" w:hAnsi="Times New Roman"/>
          <w:sz w:val="20"/>
          <w:szCs w:val="20"/>
          <w:vertAlign w:val="superscript"/>
          <w:lang w:val="es-MX"/>
        </w:rPr>
        <w:t>90</w:t>
      </w:r>
      <w:r w:rsidRPr="009147DF">
        <w:rPr>
          <w:rFonts w:ascii="Times New Roman" w:hAnsi="Times New Roman"/>
          <w:sz w:val="20"/>
          <w:szCs w:val="20"/>
          <w:lang w:val="es-MX"/>
        </w:rPr>
        <w:t xml:space="preserve">Y beta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particles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. </w:t>
      </w:r>
    </w:p>
    <w:p w14:paraId="4818EAA7" w14:textId="77777777" w:rsidR="00DC1992" w:rsidRPr="009147DF" w:rsidRDefault="00DC1992" w:rsidP="009147DF">
      <w:pPr>
        <w:spacing w:after="120" w:line="259" w:lineRule="auto"/>
        <w:jc w:val="both"/>
        <w:rPr>
          <w:rFonts w:ascii="Times New Roman" w:hAnsi="Times New Roman"/>
          <w:sz w:val="20"/>
          <w:szCs w:val="20"/>
          <w:lang w:val="es-MX"/>
        </w:rPr>
      </w:pP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Particle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size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of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powders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was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determined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with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Dynamic Light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Scattering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technique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and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with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image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processing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using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TEM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micrographies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.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For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all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nanocrystalline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powders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, Raman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spectra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obtained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using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a He-Ne laser (632.8 nm)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showed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characteristic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1332 cm</w:t>
      </w:r>
      <w:r w:rsidRPr="009147DF">
        <w:rPr>
          <w:rFonts w:ascii="Times New Roman" w:hAnsi="Times New Roman"/>
          <w:sz w:val="20"/>
          <w:szCs w:val="20"/>
          <w:vertAlign w:val="superscript"/>
          <w:lang w:val="es-MX"/>
        </w:rPr>
        <w:t>-1</w:t>
      </w:r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diamond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peak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corresponding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to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sp</w:t>
      </w:r>
      <w:r w:rsidRPr="009147DF">
        <w:rPr>
          <w:rFonts w:ascii="Times New Roman" w:hAnsi="Times New Roman"/>
          <w:sz w:val="20"/>
          <w:szCs w:val="20"/>
          <w:vertAlign w:val="superscript"/>
          <w:lang w:val="es-MX"/>
        </w:rPr>
        <w:t>3</w:t>
      </w:r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hybridization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of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diamond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. Beta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irradiation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and TL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measurements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were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performed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with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a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Risø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TL/OSL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reader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,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model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TL-DA 20. </w:t>
      </w:r>
    </w:p>
    <w:p w14:paraId="7EEED7F0" w14:textId="77777777" w:rsidR="00DC1992" w:rsidRPr="009147DF" w:rsidRDefault="00DC1992" w:rsidP="009147DF">
      <w:pPr>
        <w:spacing w:after="120" w:line="259" w:lineRule="auto"/>
        <w:jc w:val="both"/>
        <w:rPr>
          <w:rFonts w:ascii="Times New Roman" w:hAnsi="Times New Roman"/>
          <w:sz w:val="20"/>
          <w:szCs w:val="20"/>
          <w:lang w:val="es-MX"/>
        </w:rPr>
      </w:pP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TL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glow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curves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reveal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one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broad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TL band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from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373 – 623 K.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All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samples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showed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a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lower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temperature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shift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of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TL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maxima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when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received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dose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was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increased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.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maximal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TL response (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integrated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TL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between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373 and 673 K)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was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found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for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powders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with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mean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particle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size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of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660 nm. </w:t>
      </w:r>
    </w:p>
    <w:p w14:paraId="2BDF1923" w14:textId="77777777" w:rsidR="00DC1992" w:rsidRPr="009147DF" w:rsidRDefault="00DC1992" w:rsidP="009147DF">
      <w:pPr>
        <w:spacing w:after="120" w:line="259" w:lineRule="auto"/>
        <w:jc w:val="both"/>
        <w:rPr>
          <w:rFonts w:ascii="Times New Roman" w:hAnsi="Times New Roman"/>
          <w:sz w:val="20"/>
          <w:szCs w:val="20"/>
          <w:lang w:val="es-MX"/>
        </w:rPr>
      </w:pPr>
      <w:r w:rsidRPr="009147DF">
        <w:rPr>
          <w:rFonts w:ascii="Times New Roman" w:hAnsi="Times New Roman"/>
          <w:sz w:val="20"/>
          <w:szCs w:val="20"/>
          <w:lang w:val="es-MX"/>
        </w:rPr>
        <w:t xml:space="preserve">Linear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behavior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of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dose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response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was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found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in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ranges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up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to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1.5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kGy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for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four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different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samples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although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sample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with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smaller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particle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size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showed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an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even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greater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linearity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range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increasing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up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to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3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kGy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.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These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results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could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set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groundwork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for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a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proposed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personal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diamond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based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thermoluminescent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 xml:space="preserve"> </w:t>
      </w:r>
      <w:proofErr w:type="spellStart"/>
      <w:r w:rsidRPr="009147DF">
        <w:rPr>
          <w:rFonts w:ascii="Times New Roman" w:hAnsi="Times New Roman"/>
          <w:sz w:val="20"/>
          <w:szCs w:val="20"/>
          <w:lang w:val="es-MX"/>
        </w:rPr>
        <w:t>dosimeter</w:t>
      </w:r>
      <w:proofErr w:type="spellEnd"/>
      <w:r w:rsidRPr="009147DF">
        <w:rPr>
          <w:rFonts w:ascii="Times New Roman" w:hAnsi="Times New Roman"/>
          <w:sz w:val="20"/>
          <w:szCs w:val="20"/>
          <w:lang w:val="es-MX"/>
        </w:rPr>
        <w:t>.</w:t>
      </w:r>
    </w:p>
    <w:p w14:paraId="2AEDC888" w14:textId="77777777" w:rsidR="00DC1992" w:rsidRPr="009147DF" w:rsidRDefault="00DC1992" w:rsidP="009147DF">
      <w:pPr>
        <w:jc w:val="both"/>
        <w:rPr>
          <w:rFonts w:ascii="Times New Roman" w:hAnsi="Times New Roman"/>
          <w:sz w:val="20"/>
          <w:szCs w:val="20"/>
          <w:lang w:val="es-MX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5"/>
        <w:gridCol w:w="4156"/>
      </w:tblGrid>
      <w:tr w:rsidR="00DC1992" w:rsidRPr="00375707" w14:paraId="19562C1F" w14:textId="77777777" w:rsidTr="00777537"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2E4D1" w14:textId="418B650B" w:rsidR="00DC1992" w:rsidRPr="00375707" w:rsidRDefault="00282D1D" w:rsidP="009147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375707">
              <w:rPr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42078DDA" wp14:editId="6065EEEA">
                  <wp:extent cx="2042160" cy="1615440"/>
                  <wp:effectExtent l="0" t="0" r="0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1" t="10582" r="13603" b="45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116D7" w14:textId="13B0213F" w:rsidR="00DC1992" w:rsidRPr="00375707" w:rsidRDefault="00282D1D" w:rsidP="009147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375707">
              <w:rPr>
                <w:rFonts w:ascii="Times New Roman" w:hAnsi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479F6AC2" wp14:editId="7B735C7D">
                  <wp:extent cx="2094230" cy="1619885"/>
                  <wp:effectExtent l="0" t="0" r="0" b="0"/>
                  <wp:docPr id="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48" t="7947" r="9816" b="46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230" cy="16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992" w:rsidRPr="00375707" w14:paraId="65DC6791" w14:textId="77777777" w:rsidTr="00777537"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757F6" w14:textId="77777777" w:rsidR="00DC1992" w:rsidRPr="00375707" w:rsidRDefault="00DC1992" w:rsidP="009147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Figure 1 – HPHT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nanodiamond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TL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glow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-curves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for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all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the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samples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.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642C5" w14:textId="77777777" w:rsidR="00DC1992" w:rsidRPr="00375707" w:rsidRDefault="00DC1992" w:rsidP="009147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Figure 2 – HPHT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nanodiamond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dosimetry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curves. TL response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was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integrated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for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all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the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samples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along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the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measured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temperature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range</w:t>
            </w:r>
            <w:proofErr w:type="spellEnd"/>
            <w:r w:rsidRPr="00375707">
              <w:rPr>
                <w:rFonts w:ascii="Times New Roman" w:hAnsi="Times New Roman"/>
                <w:sz w:val="20"/>
                <w:szCs w:val="20"/>
                <w:lang w:val="es-MX"/>
              </w:rPr>
              <w:t>.</w:t>
            </w:r>
          </w:p>
        </w:tc>
      </w:tr>
    </w:tbl>
    <w:p w14:paraId="537E0402" w14:textId="77777777" w:rsidR="00DC1992" w:rsidRPr="009147DF" w:rsidRDefault="00DC1992" w:rsidP="009147DF">
      <w:pPr>
        <w:rPr>
          <w:sz w:val="20"/>
          <w:szCs w:val="20"/>
          <w:lang w:val="es-MX"/>
        </w:rPr>
      </w:pPr>
    </w:p>
    <w:p w14:paraId="246CB4DE" w14:textId="77777777" w:rsidR="00DC1992" w:rsidRPr="009147DF" w:rsidRDefault="00DC1992" w:rsidP="009147DF">
      <w:pPr>
        <w:pStyle w:val="Referencias"/>
        <w:numPr>
          <w:ilvl w:val="0"/>
          <w:numId w:val="0"/>
        </w:numPr>
        <w:tabs>
          <w:tab w:val="left" w:pos="708"/>
        </w:tabs>
        <w:snapToGrid w:val="0"/>
        <w:rPr>
          <w:b/>
          <w:szCs w:val="20"/>
          <w:lang w:val="es-MX"/>
        </w:rPr>
      </w:pPr>
    </w:p>
    <w:p w14:paraId="796370F3" w14:textId="77777777" w:rsidR="00DC1992" w:rsidRPr="009147DF" w:rsidRDefault="00DC1992" w:rsidP="009147DF">
      <w:pPr>
        <w:pStyle w:val="Referencias"/>
        <w:numPr>
          <w:ilvl w:val="0"/>
          <w:numId w:val="0"/>
        </w:numPr>
        <w:tabs>
          <w:tab w:val="left" w:pos="708"/>
        </w:tabs>
        <w:snapToGrid w:val="0"/>
        <w:rPr>
          <w:b/>
          <w:szCs w:val="20"/>
          <w:lang w:val="es-MX"/>
        </w:rPr>
      </w:pPr>
    </w:p>
    <w:p w14:paraId="76F12557" w14:textId="77777777" w:rsidR="00DC1992" w:rsidRPr="009147DF" w:rsidRDefault="00DC1992" w:rsidP="009147DF">
      <w:pPr>
        <w:pStyle w:val="Referencias"/>
        <w:numPr>
          <w:ilvl w:val="0"/>
          <w:numId w:val="0"/>
        </w:numPr>
        <w:tabs>
          <w:tab w:val="left" w:pos="708"/>
        </w:tabs>
        <w:snapToGrid w:val="0"/>
        <w:rPr>
          <w:b/>
          <w:szCs w:val="20"/>
          <w:lang w:val="es-MX"/>
        </w:rPr>
      </w:pPr>
      <w:bookmarkStart w:id="0" w:name="_GoBack"/>
      <w:bookmarkEnd w:id="0"/>
    </w:p>
    <w:p w14:paraId="1C327F9B" w14:textId="77777777" w:rsidR="00DC1992" w:rsidRPr="009147DF" w:rsidRDefault="00DC1992" w:rsidP="009147DF">
      <w:pPr>
        <w:pStyle w:val="Referencias"/>
        <w:numPr>
          <w:ilvl w:val="0"/>
          <w:numId w:val="0"/>
        </w:numPr>
        <w:tabs>
          <w:tab w:val="left" w:pos="708"/>
        </w:tabs>
        <w:snapToGrid w:val="0"/>
        <w:rPr>
          <w:szCs w:val="20"/>
          <w:lang w:val="es-MX"/>
        </w:rPr>
      </w:pPr>
      <w:r w:rsidRPr="009147DF">
        <w:rPr>
          <w:b/>
          <w:szCs w:val="20"/>
          <w:lang w:val="es-MX"/>
        </w:rPr>
        <w:t>Referencias</w:t>
      </w:r>
      <w:r w:rsidRPr="009147DF">
        <w:rPr>
          <w:szCs w:val="20"/>
          <w:lang w:val="es-MX"/>
        </w:rPr>
        <w:t xml:space="preserve"> </w:t>
      </w:r>
    </w:p>
    <w:p w14:paraId="585620AB" w14:textId="77777777" w:rsidR="00DC1992" w:rsidRPr="009147DF" w:rsidRDefault="00DC1992" w:rsidP="009147DF">
      <w:pPr>
        <w:pStyle w:val="Referencias"/>
        <w:numPr>
          <w:ilvl w:val="0"/>
          <w:numId w:val="0"/>
        </w:numPr>
        <w:tabs>
          <w:tab w:val="left" w:pos="708"/>
        </w:tabs>
        <w:snapToGrid w:val="0"/>
        <w:rPr>
          <w:szCs w:val="20"/>
          <w:lang w:val="es-MX"/>
        </w:rPr>
      </w:pPr>
    </w:p>
    <w:p w14:paraId="7B302545" w14:textId="77777777" w:rsidR="00DC1992" w:rsidRPr="009147DF" w:rsidRDefault="00DC1992" w:rsidP="009147DF">
      <w:pPr>
        <w:pStyle w:val="Referencias"/>
        <w:numPr>
          <w:ilvl w:val="0"/>
          <w:numId w:val="0"/>
        </w:numPr>
        <w:tabs>
          <w:tab w:val="left" w:pos="708"/>
        </w:tabs>
        <w:snapToGrid w:val="0"/>
        <w:spacing w:after="120"/>
        <w:ind w:left="284" w:hanging="284"/>
        <w:rPr>
          <w:szCs w:val="20"/>
          <w:lang w:val="es-MX"/>
        </w:rPr>
      </w:pPr>
      <w:r w:rsidRPr="009147DF">
        <w:rPr>
          <w:szCs w:val="20"/>
          <w:lang w:val="es-MX"/>
        </w:rPr>
        <w:t xml:space="preserve">[1] F. </w:t>
      </w:r>
      <w:proofErr w:type="spellStart"/>
      <w:r w:rsidRPr="009147DF">
        <w:rPr>
          <w:szCs w:val="20"/>
          <w:lang w:val="es-MX"/>
        </w:rPr>
        <w:t>Schirru</w:t>
      </w:r>
      <w:proofErr w:type="spellEnd"/>
      <w:r w:rsidRPr="009147DF">
        <w:rPr>
          <w:szCs w:val="20"/>
          <w:lang w:val="es-MX"/>
        </w:rPr>
        <w:t xml:space="preserve">, I. </w:t>
      </w:r>
      <w:proofErr w:type="spellStart"/>
      <w:r w:rsidRPr="009147DF">
        <w:rPr>
          <w:szCs w:val="20"/>
          <w:lang w:val="es-MX"/>
        </w:rPr>
        <w:t>Kupriyanov</w:t>
      </w:r>
      <w:proofErr w:type="spellEnd"/>
      <w:r w:rsidRPr="009147DF">
        <w:rPr>
          <w:szCs w:val="20"/>
          <w:lang w:val="es-MX"/>
        </w:rPr>
        <w:t xml:space="preserve">, B. </w:t>
      </w:r>
      <w:proofErr w:type="spellStart"/>
      <w:r w:rsidRPr="009147DF">
        <w:rPr>
          <w:szCs w:val="20"/>
          <w:lang w:val="es-MX"/>
        </w:rPr>
        <w:t>Marczewska</w:t>
      </w:r>
      <w:proofErr w:type="spellEnd"/>
      <w:r w:rsidRPr="009147DF">
        <w:rPr>
          <w:szCs w:val="20"/>
          <w:lang w:val="es-MX"/>
        </w:rPr>
        <w:t xml:space="preserve"> and T. </w:t>
      </w:r>
      <w:proofErr w:type="spellStart"/>
      <w:r w:rsidRPr="009147DF">
        <w:rPr>
          <w:szCs w:val="20"/>
          <w:lang w:val="es-MX"/>
        </w:rPr>
        <w:t>Nowak</w:t>
      </w:r>
      <w:proofErr w:type="spellEnd"/>
      <w:r w:rsidRPr="009147DF">
        <w:rPr>
          <w:szCs w:val="20"/>
          <w:lang w:val="es-MX"/>
        </w:rPr>
        <w:t>, "</w:t>
      </w:r>
      <w:proofErr w:type="spellStart"/>
      <w:r w:rsidRPr="009147DF">
        <w:rPr>
          <w:szCs w:val="20"/>
          <w:lang w:val="es-MX"/>
        </w:rPr>
        <w:t>Radiation</w:t>
      </w:r>
      <w:proofErr w:type="spellEnd"/>
      <w:r w:rsidRPr="009147DF">
        <w:rPr>
          <w:szCs w:val="20"/>
          <w:lang w:val="es-MX"/>
        </w:rPr>
        <w:t xml:space="preserve"> detector performances </w:t>
      </w:r>
      <w:proofErr w:type="spellStart"/>
      <w:r w:rsidRPr="009147DF">
        <w:rPr>
          <w:szCs w:val="20"/>
          <w:lang w:val="es-MX"/>
        </w:rPr>
        <w:t>of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nitrogen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doped</w:t>
      </w:r>
      <w:proofErr w:type="spellEnd"/>
      <w:r w:rsidRPr="009147DF">
        <w:rPr>
          <w:szCs w:val="20"/>
          <w:lang w:val="es-MX"/>
        </w:rPr>
        <w:t xml:space="preserve"> HPHT </w:t>
      </w:r>
      <w:proofErr w:type="spellStart"/>
      <w:r w:rsidRPr="009147DF">
        <w:rPr>
          <w:szCs w:val="20"/>
          <w:lang w:val="es-MX"/>
        </w:rPr>
        <w:t>diamond</w:t>
      </w:r>
      <w:proofErr w:type="spellEnd"/>
      <w:r w:rsidRPr="009147DF">
        <w:rPr>
          <w:szCs w:val="20"/>
          <w:lang w:val="es-MX"/>
        </w:rPr>
        <w:t xml:space="preserve"> films," </w:t>
      </w:r>
      <w:proofErr w:type="spellStart"/>
      <w:r w:rsidRPr="009147DF">
        <w:rPr>
          <w:szCs w:val="20"/>
          <w:lang w:val="es-MX"/>
        </w:rPr>
        <w:t>Physica</w:t>
      </w:r>
      <w:proofErr w:type="spellEnd"/>
      <w:r w:rsidRPr="009147DF">
        <w:rPr>
          <w:szCs w:val="20"/>
          <w:lang w:val="es-MX"/>
        </w:rPr>
        <w:t xml:space="preserve"> Status </w:t>
      </w:r>
      <w:proofErr w:type="spellStart"/>
      <w:r w:rsidRPr="009147DF">
        <w:rPr>
          <w:szCs w:val="20"/>
          <w:lang w:val="es-MX"/>
        </w:rPr>
        <w:t>Solidi</w:t>
      </w:r>
      <w:proofErr w:type="spellEnd"/>
      <w:r w:rsidRPr="009147DF">
        <w:rPr>
          <w:szCs w:val="20"/>
          <w:lang w:val="es-MX"/>
        </w:rPr>
        <w:t xml:space="preserve"> A, vol. 205, no. 9, pp. 2216-2220, 2008. </w:t>
      </w:r>
    </w:p>
    <w:p w14:paraId="0112D084" w14:textId="77777777" w:rsidR="00DC1992" w:rsidRPr="009147DF" w:rsidRDefault="00DC1992" w:rsidP="009147DF">
      <w:pPr>
        <w:pStyle w:val="Referencias"/>
        <w:numPr>
          <w:ilvl w:val="0"/>
          <w:numId w:val="0"/>
        </w:numPr>
        <w:tabs>
          <w:tab w:val="left" w:pos="708"/>
        </w:tabs>
        <w:snapToGrid w:val="0"/>
        <w:spacing w:after="120"/>
        <w:ind w:left="284" w:hanging="284"/>
        <w:rPr>
          <w:szCs w:val="20"/>
          <w:lang w:val="es-MX"/>
        </w:rPr>
      </w:pPr>
      <w:r w:rsidRPr="009147DF">
        <w:rPr>
          <w:szCs w:val="20"/>
          <w:lang w:val="es-MX"/>
        </w:rPr>
        <w:t xml:space="preserve">[2] N. </w:t>
      </w:r>
      <w:proofErr w:type="spellStart"/>
      <w:r w:rsidRPr="009147DF">
        <w:rPr>
          <w:szCs w:val="20"/>
          <w:lang w:val="es-MX"/>
        </w:rPr>
        <w:t>Kristianpoller</w:t>
      </w:r>
      <w:proofErr w:type="spellEnd"/>
      <w:r w:rsidRPr="009147DF">
        <w:rPr>
          <w:szCs w:val="20"/>
          <w:lang w:val="es-MX"/>
        </w:rPr>
        <w:t>, D. Weiss and R. Chen, "</w:t>
      </w:r>
      <w:proofErr w:type="spellStart"/>
      <w:r w:rsidRPr="009147DF">
        <w:rPr>
          <w:szCs w:val="20"/>
          <w:lang w:val="es-MX"/>
        </w:rPr>
        <w:t>Irradiation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effects</w:t>
      </w:r>
      <w:proofErr w:type="spellEnd"/>
      <w:r w:rsidRPr="009147DF">
        <w:rPr>
          <w:szCs w:val="20"/>
          <w:lang w:val="es-MX"/>
        </w:rPr>
        <w:t xml:space="preserve"> in </w:t>
      </w:r>
      <w:proofErr w:type="spellStart"/>
      <w:r w:rsidRPr="009147DF">
        <w:rPr>
          <w:szCs w:val="20"/>
          <w:lang w:val="es-MX"/>
        </w:rPr>
        <w:t>semiconducting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diamonds</w:t>
      </w:r>
      <w:proofErr w:type="spellEnd"/>
      <w:r w:rsidRPr="009147DF">
        <w:rPr>
          <w:szCs w:val="20"/>
          <w:lang w:val="es-MX"/>
        </w:rPr>
        <w:t xml:space="preserve">," </w:t>
      </w:r>
      <w:proofErr w:type="spellStart"/>
      <w:r w:rsidRPr="009147DF">
        <w:rPr>
          <w:szCs w:val="20"/>
          <w:lang w:val="es-MX"/>
        </w:rPr>
        <w:t>Physica</w:t>
      </w:r>
      <w:proofErr w:type="spellEnd"/>
      <w:r w:rsidRPr="009147DF">
        <w:rPr>
          <w:szCs w:val="20"/>
          <w:lang w:val="es-MX"/>
        </w:rPr>
        <w:t xml:space="preserve"> B, Vols. 308-310, pp. 612-615, 2001. </w:t>
      </w:r>
    </w:p>
    <w:p w14:paraId="49D60296" w14:textId="77777777" w:rsidR="00DC1992" w:rsidRPr="009147DF" w:rsidRDefault="00DC1992" w:rsidP="009147DF">
      <w:pPr>
        <w:pStyle w:val="Referencias"/>
        <w:numPr>
          <w:ilvl w:val="0"/>
          <w:numId w:val="0"/>
        </w:numPr>
        <w:tabs>
          <w:tab w:val="left" w:pos="708"/>
        </w:tabs>
        <w:snapToGrid w:val="0"/>
        <w:spacing w:after="120"/>
        <w:ind w:left="284" w:hanging="284"/>
        <w:rPr>
          <w:szCs w:val="20"/>
          <w:lang w:val="es-MX"/>
        </w:rPr>
      </w:pPr>
      <w:r w:rsidRPr="009147DF">
        <w:rPr>
          <w:szCs w:val="20"/>
          <w:lang w:val="es-MX"/>
        </w:rPr>
        <w:t>[3] P. J. Dean, "</w:t>
      </w:r>
      <w:proofErr w:type="spellStart"/>
      <w:r w:rsidRPr="009147DF">
        <w:rPr>
          <w:szCs w:val="20"/>
          <w:lang w:val="es-MX"/>
        </w:rPr>
        <w:t>Bound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Excitons</w:t>
      </w:r>
      <w:proofErr w:type="spellEnd"/>
      <w:r w:rsidRPr="009147DF">
        <w:rPr>
          <w:szCs w:val="20"/>
          <w:lang w:val="es-MX"/>
        </w:rPr>
        <w:t xml:space="preserve"> and </w:t>
      </w:r>
      <w:proofErr w:type="spellStart"/>
      <w:r w:rsidRPr="009147DF">
        <w:rPr>
          <w:szCs w:val="20"/>
          <w:lang w:val="es-MX"/>
        </w:rPr>
        <w:t>Donor-Acceptor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Pairs</w:t>
      </w:r>
      <w:proofErr w:type="spellEnd"/>
      <w:r w:rsidRPr="009147DF">
        <w:rPr>
          <w:szCs w:val="20"/>
          <w:lang w:val="es-MX"/>
        </w:rPr>
        <w:t xml:space="preserve"> in Natural and </w:t>
      </w:r>
      <w:proofErr w:type="spellStart"/>
      <w:r w:rsidRPr="009147DF">
        <w:rPr>
          <w:szCs w:val="20"/>
          <w:lang w:val="es-MX"/>
        </w:rPr>
        <w:t>Synthetic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Diamond</w:t>
      </w:r>
      <w:proofErr w:type="spellEnd"/>
      <w:r w:rsidRPr="009147DF">
        <w:rPr>
          <w:szCs w:val="20"/>
          <w:lang w:val="es-MX"/>
        </w:rPr>
        <w:t xml:space="preserve">," </w:t>
      </w:r>
      <w:proofErr w:type="spellStart"/>
      <w:r w:rsidRPr="009147DF">
        <w:rPr>
          <w:szCs w:val="20"/>
          <w:lang w:val="es-MX"/>
        </w:rPr>
        <w:t>Physical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Review</w:t>
      </w:r>
      <w:proofErr w:type="spellEnd"/>
      <w:r w:rsidRPr="009147DF">
        <w:rPr>
          <w:szCs w:val="20"/>
          <w:lang w:val="es-MX"/>
        </w:rPr>
        <w:t xml:space="preserve">, vol. 139, no. 2A, pp. 588-602, 1965. </w:t>
      </w:r>
    </w:p>
    <w:p w14:paraId="322E1BE5" w14:textId="77777777" w:rsidR="00DC1992" w:rsidRPr="009147DF" w:rsidRDefault="00DC1992" w:rsidP="009147DF">
      <w:pPr>
        <w:pStyle w:val="Referencias"/>
        <w:numPr>
          <w:ilvl w:val="0"/>
          <w:numId w:val="0"/>
        </w:numPr>
        <w:tabs>
          <w:tab w:val="left" w:pos="708"/>
        </w:tabs>
        <w:snapToGrid w:val="0"/>
        <w:spacing w:after="120"/>
        <w:ind w:left="284" w:hanging="284"/>
        <w:rPr>
          <w:szCs w:val="20"/>
          <w:lang w:val="es-MX"/>
        </w:rPr>
      </w:pPr>
      <w:r w:rsidRPr="009147DF">
        <w:rPr>
          <w:szCs w:val="20"/>
          <w:lang w:val="es-MX"/>
        </w:rPr>
        <w:t xml:space="preserve">[4] P. B. Klein, M. D. </w:t>
      </w:r>
      <w:proofErr w:type="spellStart"/>
      <w:r w:rsidRPr="009147DF">
        <w:rPr>
          <w:szCs w:val="20"/>
          <w:lang w:val="es-MX"/>
        </w:rPr>
        <w:t>Crossfield</w:t>
      </w:r>
      <w:proofErr w:type="spellEnd"/>
      <w:r w:rsidRPr="009147DF">
        <w:rPr>
          <w:szCs w:val="20"/>
          <w:lang w:val="es-MX"/>
        </w:rPr>
        <w:t>, J. A. Freitas Jr. and A. T. Collins, "</w:t>
      </w:r>
      <w:proofErr w:type="spellStart"/>
      <w:r w:rsidRPr="009147DF">
        <w:rPr>
          <w:szCs w:val="20"/>
          <w:lang w:val="es-MX"/>
        </w:rPr>
        <w:t>Donor-acceptor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pair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recombination</w:t>
      </w:r>
      <w:proofErr w:type="spellEnd"/>
      <w:r w:rsidRPr="009147DF">
        <w:rPr>
          <w:szCs w:val="20"/>
          <w:lang w:val="es-MX"/>
        </w:rPr>
        <w:t xml:space="preserve"> in </w:t>
      </w:r>
      <w:proofErr w:type="spellStart"/>
      <w:r w:rsidRPr="009147DF">
        <w:rPr>
          <w:szCs w:val="20"/>
          <w:lang w:val="es-MX"/>
        </w:rPr>
        <w:t>synthetic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type-IIb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semiconducting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diamond</w:t>
      </w:r>
      <w:proofErr w:type="spellEnd"/>
      <w:r w:rsidRPr="009147DF">
        <w:rPr>
          <w:szCs w:val="20"/>
          <w:lang w:val="es-MX"/>
        </w:rPr>
        <w:t xml:space="preserve">," </w:t>
      </w:r>
      <w:proofErr w:type="spellStart"/>
      <w:r w:rsidRPr="009147DF">
        <w:rPr>
          <w:szCs w:val="20"/>
          <w:lang w:val="es-MX"/>
        </w:rPr>
        <w:t>Physical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Review</w:t>
      </w:r>
      <w:proofErr w:type="spellEnd"/>
      <w:r w:rsidRPr="009147DF">
        <w:rPr>
          <w:szCs w:val="20"/>
          <w:lang w:val="es-MX"/>
        </w:rPr>
        <w:t xml:space="preserve"> B, vol. 51, no. 15, pp. 9634-9642, 1995. </w:t>
      </w:r>
    </w:p>
    <w:p w14:paraId="2DF0F89C" w14:textId="77777777" w:rsidR="00DC1992" w:rsidRPr="009147DF" w:rsidRDefault="00DC1992" w:rsidP="009147DF">
      <w:pPr>
        <w:pStyle w:val="Referencias"/>
        <w:numPr>
          <w:ilvl w:val="0"/>
          <w:numId w:val="0"/>
        </w:numPr>
        <w:tabs>
          <w:tab w:val="left" w:pos="708"/>
        </w:tabs>
        <w:snapToGrid w:val="0"/>
        <w:spacing w:after="120"/>
        <w:ind w:left="284" w:hanging="284"/>
        <w:rPr>
          <w:szCs w:val="20"/>
          <w:lang w:val="es-MX"/>
        </w:rPr>
      </w:pPr>
      <w:r w:rsidRPr="009147DF">
        <w:rPr>
          <w:szCs w:val="20"/>
          <w:lang w:val="es-MX"/>
        </w:rPr>
        <w:t xml:space="preserve">[5] J. Nahum and A. </w:t>
      </w:r>
      <w:proofErr w:type="spellStart"/>
      <w:r w:rsidRPr="009147DF">
        <w:rPr>
          <w:szCs w:val="20"/>
          <w:lang w:val="es-MX"/>
        </w:rPr>
        <w:t>Halperin</w:t>
      </w:r>
      <w:proofErr w:type="spellEnd"/>
      <w:r w:rsidRPr="009147DF">
        <w:rPr>
          <w:szCs w:val="20"/>
          <w:lang w:val="es-MX"/>
        </w:rPr>
        <w:t>, "</w:t>
      </w:r>
      <w:proofErr w:type="spellStart"/>
      <w:r w:rsidRPr="009147DF">
        <w:rPr>
          <w:szCs w:val="20"/>
          <w:lang w:val="es-MX"/>
        </w:rPr>
        <w:t>Thermoluminescence</w:t>
      </w:r>
      <w:proofErr w:type="spellEnd"/>
      <w:r w:rsidRPr="009147DF">
        <w:rPr>
          <w:szCs w:val="20"/>
          <w:lang w:val="es-MX"/>
        </w:rPr>
        <w:t xml:space="preserve"> and </w:t>
      </w:r>
      <w:proofErr w:type="spellStart"/>
      <w:r w:rsidRPr="009147DF">
        <w:rPr>
          <w:szCs w:val="20"/>
          <w:lang w:val="es-MX"/>
        </w:rPr>
        <w:t>the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relation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between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thermal</w:t>
      </w:r>
      <w:proofErr w:type="spellEnd"/>
      <w:r w:rsidRPr="009147DF">
        <w:rPr>
          <w:szCs w:val="20"/>
          <w:lang w:val="es-MX"/>
        </w:rPr>
        <w:t xml:space="preserve"> and </w:t>
      </w:r>
      <w:proofErr w:type="spellStart"/>
      <w:r w:rsidRPr="009147DF">
        <w:rPr>
          <w:szCs w:val="20"/>
          <w:lang w:val="es-MX"/>
        </w:rPr>
        <w:t>optical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activation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energies</w:t>
      </w:r>
      <w:proofErr w:type="spellEnd"/>
      <w:r w:rsidRPr="009147DF">
        <w:rPr>
          <w:szCs w:val="20"/>
          <w:lang w:val="es-MX"/>
        </w:rPr>
        <w:t xml:space="preserve"> in </w:t>
      </w:r>
      <w:proofErr w:type="spellStart"/>
      <w:r w:rsidRPr="009147DF">
        <w:rPr>
          <w:szCs w:val="20"/>
          <w:lang w:val="es-MX"/>
        </w:rPr>
        <w:t>diamond</w:t>
      </w:r>
      <w:proofErr w:type="spellEnd"/>
      <w:r w:rsidRPr="009147DF">
        <w:rPr>
          <w:szCs w:val="20"/>
          <w:lang w:val="es-MX"/>
        </w:rPr>
        <w:t xml:space="preserve">," J. </w:t>
      </w:r>
      <w:proofErr w:type="spellStart"/>
      <w:r w:rsidRPr="009147DF">
        <w:rPr>
          <w:szCs w:val="20"/>
          <w:lang w:val="es-MX"/>
        </w:rPr>
        <w:t>Phys</w:t>
      </w:r>
      <w:proofErr w:type="spellEnd"/>
      <w:r w:rsidRPr="009147DF">
        <w:rPr>
          <w:szCs w:val="20"/>
          <w:lang w:val="es-MX"/>
        </w:rPr>
        <w:t xml:space="preserve">. </w:t>
      </w:r>
      <w:proofErr w:type="spellStart"/>
      <w:r w:rsidRPr="009147DF">
        <w:rPr>
          <w:szCs w:val="20"/>
          <w:lang w:val="es-MX"/>
        </w:rPr>
        <w:t>Chem</w:t>
      </w:r>
      <w:proofErr w:type="spellEnd"/>
      <w:r w:rsidRPr="009147DF">
        <w:rPr>
          <w:szCs w:val="20"/>
          <w:lang w:val="es-MX"/>
        </w:rPr>
        <w:t xml:space="preserve">. </w:t>
      </w:r>
      <w:proofErr w:type="spellStart"/>
      <w:r w:rsidRPr="009147DF">
        <w:rPr>
          <w:szCs w:val="20"/>
          <w:lang w:val="es-MX"/>
        </w:rPr>
        <w:t>Solids</w:t>
      </w:r>
      <w:proofErr w:type="spellEnd"/>
      <w:r w:rsidRPr="009147DF">
        <w:rPr>
          <w:szCs w:val="20"/>
          <w:lang w:val="es-MX"/>
        </w:rPr>
        <w:t xml:space="preserve">, vol. 24, pp. 823-834, 1963. </w:t>
      </w:r>
    </w:p>
    <w:p w14:paraId="107E390A" w14:textId="77777777" w:rsidR="00DC1992" w:rsidRPr="009147DF" w:rsidRDefault="00DC1992" w:rsidP="009147DF">
      <w:pPr>
        <w:pStyle w:val="Referencias"/>
        <w:numPr>
          <w:ilvl w:val="0"/>
          <w:numId w:val="0"/>
        </w:numPr>
        <w:tabs>
          <w:tab w:val="left" w:pos="708"/>
          <w:tab w:val="left" w:pos="4962"/>
        </w:tabs>
        <w:snapToGrid w:val="0"/>
        <w:spacing w:after="120"/>
        <w:ind w:left="284" w:hanging="284"/>
        <w:rPr>
          <w:szCs w:val="20"/>
          <w:lang w:val="es-MX"/>
        </w:rPr>
      </w:pPr>
      <w:r w:rsidRPr="009147DF">
        <w:rPr>
          <w:szCs w:val="20"/>
          <w:lang w:val="es-MX"/>
        </w:rPr>
        <w:t xml:space="preserve">[6] G. </w:t>
      </w:r>
      <w:proofErr w:type="spellStart"/>
      <w:r w:rsidRPr="009147DF">
        <w:rPr>
          <w:szCs w:val="20"/>
          <w:lang w:val="es-MX"/>
        </w:rPr>
        <w:t>Garlick</w:t>
      </w:r>
      <w:proofErr w:type="spellEnd"/>
      <w:r w:rsidRPr="009147DF">
        <w:rPr>
          <w:szCs w:val="20"/>
          <w:lang w:val="es-MX"/>
        </w:rPr>
        <w:t xml:space="preserve"> and A. Gibson, "</w:t>
      </w:r>
      <w:proofErr w:type="spellStart"/>
      <w:r w:rsidRPr="009147DF">
        <w:rPr>
          <w:szCs w:val="20"/>
          <w:lang w:val="es-MX"/>
        </w:rPr>
        <w:t>The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electron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trap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mechanism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of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luminescence</w:t>
      </w:r>
      <w:proofErr w:type="spellEnd"/>
      <w:r w:rsidRPr="009147DF">
        <w:rPr>
          <w:szCs w:val="20"/>
          <w:lang w:val="es-MX"/>
        </w:rPr>
        <w:t xml:space="preserve"> in </w:t>
      </w:r>
      <w:proofErr w:type="spellStart"/>
      <w:r w:rsidRPr="009147DF">
        <w:rPr>
          <w:szCs w:val="20"/>
          <w:lang w:val="es-MX"/>
        </w:rPr>
        <w:t>suphide</w:t>
      </w:r>
      <w:proofErr w:type="spellEnd"/>
      <w:r w:rsidRPr="009147DF">
        <w:rPr>
          <w:szCs w:val="20"/>
          <w:lang w:val="es-MX"/>
        </w:rPr>
        <w:t xml:space="preserve"> and </w:t>
      </w:r>
      <w:proofErr w:type="spellStart"/>
      <w:r w:rsidRPr="009147DF">
        <w:rPr>
          <w:szCs w:val="20"/>
          <w:lang w:val="es-MX"/>
        </w:rPr>
        <w:t>silicate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phosphors</w:t>
      </w:r>
      <w:proofErr w:type="spellEnd"/>
      <w:r w:rsidRPr="009147DF">
        <w:rPr>
          <w:szCs w:val="20"/>
          <w:lang w:val="es-MX"/>
        </w:rPr>
        <w:t xml:space="preserve">," in </w:t>
      </w:r>
      <w:proofErr w:type="spellStart"/>
      <w:r w:rsidRPr="009147DF">
        <w:rPr>
          <w:szCs w:val="20"/>
          <w:lang w:val="es-MX"/>
        </w:rPr>
        <w:t>Proceedings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of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the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Physical</w:t>
      </w:r>
      <w:proofErr w:type="spellEnd"/>
      <w:r w:rsidRPr="009147DF">
        <w:rPr>
          <w:szCs w:val="20"/>
          <w:lang w:val="es-MX"/>
        </w:rPr>
        <w:t xml:space="preserve"> </w:t>
      </w:r>
      <w:proofErr w:type="spellStart"/>
      <w:r w:rsidRPr="009147DF">
        <w:rPr>
          <w:szCs w:val="20"/>
          <w:lang w:val="es-MX"/>
        </w:rPr>
        <w:t>Society</w:t>
      </w:r>
      <w:proofErr w:type="spellEnd"/>
      <w:r w:rsidRPr="009147DF">
        <w:rPr>
          <w:szCs w:val="20"/>
          <w:lang w:val="es-MX"/>
        </w:rPr>
        <w:t>, 1948.</w:t>
      </w:r>
    </w:p>
    <w:p w14:paraId="0857531F" w14:textId="0058685B" w:rsidR="00545C62" w:rsidRPr="009147DF" w:rsidRDefault="00545C62" w:rsidP="009147DF">
      <w:pPr>
        <w:rPr>
          <w:sz w:val="20"/>
          <w:szCs w:val="20"/>
          <w:lang w:val="es-MX"/>
        </w:rPr>
      </w:pPr>
    </w:p>
    <w:sectPr w:rsidR="00545C62" w:rsidRPr="009147DF" w:rsidSect="00550B79">
      <w:headerReference w:type="default" r:id="rId10"/>
      <w:footerReference w:type="default" r:id="rId11"/>
      <w:pgSz w:w="12240" w:h="15840"/>
      <w:pgMar w:top="208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72490" w14:textId="77777777" w:rsidR="002F072C" w:rsidRDefault="002F072C" w:rsidP="00F16E30">
      <w:pPr>
        <w:spacing w:after="0" w:line="240" w:lineRule="auto"/>
      </w:pPr>
      <w:r>
        <w:separator/>
      </w:r>
    </w:p>
  </w:endnote>
  <w:endnote w:type="continuationSeparator" w:id="0">
    <w:p w14:paraId="3FD67B01" w14:textId="77777777" w:rsidR="002F072C" w:rsidRDefault="002F072C" w:rsidP="00F1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Imprint MT Shado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1C9B6" w14:textId="0BC23BE8" w:rsidR="00CA3B77" w:rsidRPr="00A51467" w:rsidRDefault="00CA3B77" w:rsidP="00363467">
    <w:pPr>
      <w:pStyle w:val="Piedepgina"/>
      <w:jc w:val="center"/>
      <w:rPr>
        <w:b/>
        <w:lang w:val="es-MX"/>
      </w:rPr>
    </w:pPr>
    <w:r w:rsidRPr="00A51467">
      <w:rPr>
        <w:b/>
        <w:lang w:val="es-MX"/>
      </w:rPr>
      <w:t>X</w:t>
    </w:r>
    <w:r w:rsidRPr="00A51467">
      <w:rPr>
        <w:b/>
        <w:lang w:val="uz-Cyrl-UZ"/>
      </w:rPr>
      <w:t>XV</w:t>
    </w:r>
    <w:r w:rsidRPr="00A51467">
      <w:rPr>
        <w:b/>
        <w:lang w:val="es-MX"/>
      </w:rPr>
      <w:t xml:space="preserve"> REUNIÓN UNIVERSITARIA DE INVESTIGACIÓN EN MATERIALES</w:t>
    </w:r>
  </w:p>
  <w:p w14:paraId="54D3F90C" w14:textId="4BEEBF87" w:rsidR="00CA3B77" w:rsidRPr="00A51467" w:rsidRDefault="00CA3B77" w:rsidP="00363467">
    <w:pPr>
      <w:pStyle w:val="Piedepgina"/>
      <w:jc w:val="center"/>
      <w:rPr>
        <w:b/>
        <w:lang w:val="uz-Cyrl-UZ"/>
      </w:rPr>
    </w:pPr>
    <w:r w:rsidRPr="00A51467">
      <w:rPr>
        <w:b/>
        <w:lang w:val="es-MX"/>
      </w:rPr>
      <w:t xml:space="preserve">HERMOSILLO SONORA, DEL </w:t>
    </w:r>
    <w:r w:rsidR="009147DF">
      <w:rPr>
        <w:b/>
        <w:lang w:val="es-MX"/>
      </w:rPr>
      <w:t>9</w:t>
    </w:r>
    <w:r w:rsidRPr="00A51467">
      <w:rPr>
        <w:b/>
        <w:lang w:val="es-MX"/>
      </w:rPr>
      <w:t xml:space="preserve"> AL </w:t>
    </w:r>
    <w:r w:rsidR="009147DF">
      <w:rPr>
        <w:b/>
        <w:lang w:val="es-MX"/>
      </w:rPr>
      <w:t>11</w:t>
    </w:r>
    <w:r w:rsidRPr="00A51467">
      <w:rPr>
        <w:b/>
        <w:lang w:val="es-MX"/>
      </w:rPr>
      <w:t xml:space="preserve"> DE NOVIEMBRE DE 20</w:t>
    </w:r>
    <w:r w:rsidR="009147DF">
      <w:rPr>
        <w:b/>
        <w:lang w:val="es-MX"/>
      </w:rPr>
      <w:t>22</w:t>
    </w:r>
  </w:p>
  <w:p w14:paraId="63062875" w14:textId="77777777" w:rsidR="00CA3B77" w:rsidRPr="00177997" w:rsidRDefault="00CA3B77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53141" w14:textId="77777777" w:rsidR="002F072C" w:rsidRDefault="002F072C" w:rsidP="00F16E30">
      <w:pPr>
        <w:spacing w:after="0" w:line="240" w:lineRule="auto"/>
      </w:pPr>
      <w:r>
        <w:separator/>
      </w:r>
    </w:p>
  </w:footnote>
  <w:footnote w:type="continuationSeparator" w:id="0">
    <w:p w14:paraId="381C277B" w14:textId="77777777" w:rsidR="002F072C" w:rsidRDefault="002F072C" w:rsidP="00F16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7DF16" w14:textId="1F0642F2" w:rsidR="00CA3B77" w:rsidRPr="00550B79" w:rsidRDefault="00282D1D" w:rsidP="00550B79">
    <w:pPr>
      <w:pStyle w:val="Encabezado"/>
      <w:spacing w:after="240"/>
      <w:jc w:val="center"/>
      <w:rPr>
        <w:rFonts w:ascii="Algerian" w:hAnsi="Algerian"/>
      </w:rPr>
    </w:pPr>
    <w:r w:rsidRPr="00375707">
      <w:rPr>
        <w:rFonts w:ascii="Algerian" w:hAnsi="Algerian"/>
        <w:noProof/>
      </w:rPr>
      <w:drawing>
        <wp:inline distT="0" distB="0" distL="0" distR="0" wp14:anchorId="3B953CCB" wp14:editId="09D3D7B0">
          <wp:extent cx="5303520" cy="131508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3520" cy="131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3B77">
      <w:rPr>
        <w:rFonts w:ascii="Algerian" w:hAnsi="Algerian"/>
        <w:sz w:val="54"/>
        <w:szCs w:val="54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decimal"/>
      <w:pStyle w:val="Referencias"/>
      <w:lvlText w:val="%1."/>
      <w:lvlJc w:val="left"/>
      <w:pPr>
        <w:tabs>
          <w:tab w:val="num" w:pos="284"/>
        </w:tabs>
        <w:ind w:left="284" w:hanging="284"/>
      </w:pPr>
      <w:rPr>
        <w:rFonts w:cs="Times New Roman"/>
      </w:rPr>
    </w:lvl>
  </w:abstractNum>
  <w:abstractNum w:abstractNumId="1" w15:restartNumberingAfterBreak="0">
    <w:nsid w:val="42CA0C6B"/>
    <w:multiLevelType w:val="hybridMultilevel"/>
    <w:tmpl w:val="2500B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D402C"/>
    <w:multiLevelType w:val="hybridMultilevel"/>
    <w:tmpl w:val="F95AAABC"/>
    <w:lvl w:ilvl="0" w:tplc="5B24D64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C7"/>
    <w:rsid w:val="00007966"/>
    <w:rsid w:val="00026D22"/>
    <w:rsid w:val="00033E5E"/>
    <w:rsid w:val="00044AA8"/>
    <w:rsid w:val="00083A67"/>
    <w:rsid w:val="00096918"/>
    <w:rsid w:val="000A4B63"/>
    <w:rsid w:val="00176BF3"/>
    <w:rsid w:val="00177997"/>
    <w:rsid w:val="00194444"/>
    <w:rsid w:val="002559A3"/>
    <w:rsid w:val="00262D59"/>
    <w:rsid w:val="00266C00"/>
    <w:rsid w:val="00282D1D"/>
    <w:rsid w:val="002B2532"/>
    <w:rsid w:val="002C524E"/>
    <w:rsid w:val="002F072C"/>
    <w:rsid w:val="00334970"/>
    <w:rsid w:val="00363467"/>
    <w:rsid w:val="00375707"/>
    <w:rsid w:val="00441D4F"/>
    <w:rsid w:val="004C49EF"/>
    <w:rsid w:val="004E2C49"/>
    <w:rsid w:val="004E6099"/>
    <w:rsid w:val="0050605D"/>
    <w:rsid w:val="005202A3"/>
    <w:rsid w:val="00545C62"/>
    <w:rsid w:val="00550B79"/>
    <w:rsid w:val="0057289C"/>
    <w:rsid w:val="00575522"/>
    <w:rsid w:val="005B037C"/>
    <w:rsid w:val="006244D0"/>
    <w:rsid w:val="0066219B"/>
    <w:rsid w:val="006F553C"/>
    <w:rsid w:val="007021D6"/>
    <w:rsid w:val="0070643C"/>
    <w:rsid w:val="007229E2"/>
    <w:rsid w:val="0079369E"/>
    <w:rsid w:val="0079666E"/>
    <w:rsid w:val="007D1C86"/>
    <w:rsid w:val="007F1D8A"/>
    <w:rsid w:val="0081068F"/>
    <w:rsid w:val="00823979"/>
    <w:rsid w:val="008B47DA"/>
    <w:rsid w:val="008D148E"/>
    <w:rsid w:val="008D7096"/>
    <w:rsid w:val="009147DF"/>
    <w:rsid w:val="009F3290"/>
    <w:rsid w:val="00A00B2E"/>
    <w:rsid w:val="00A2625D"/>
    <w:rsid w:val="00A51467"/>
    <w:rsid w:val="00A94F9D"/>
    <w:rsid w:val="00B27C4D"/>
    <w:rsid w:val="00B544AA"/>
    <w:rsid w:val="00B67E96"/>
    <w:rsid w:val="00BB4684"/>
    <w:rsid w:val="00C53230"/>
    <w:rsid w:val="00C61B72"/>
    <w:rsid w:val="00CA3B77"/>
    <w:rsid w:val="00CD20C7"/>
    <w:rsid w:val="00D12918"/>
    <w:rsid w:val="00D814B2"/>
    <w:rsid w:val="00DC1992"/>
    <w:rsid w:val="00E754BD"/>
    <w:rsid w:val="00EB5068"/>
    <w:rsid w:val="00EC19E0"/>
    <w:rsid w:val="00F03404"/>
    <w:rsid w:val="00F15643"/>
    <w:rsid w:val="00F16E30"/>
    <w:rsid w:val="00F52180"/>
    <w:rsid w:val="00F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0F9F7A"/>
  <w15:docId w15:val="{93D5C056-599E-4E84-9F65-805AA322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0C7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aliases w:val="Title of paper"/>
    <w:basedOn w:val="Normal"/>
    <w:next w:val="Normal"/>
    <w:link w:val="Ttulo1Car"/>
    <w:qFormat/>
    <w:rsid w:val="00363467"/>
    <w:pPr>
      <w:keepNext/>
      <w:keepLines/>
      <w:suppressAutoHyphens/>
      <w:spacing w:before="120" w:after="120" w:line="240" w:lineRule="atLeast"/>
      <w:outlineLvl w:val="0"/>
    </w:pPr>
    <w:rPr>
      <w:rFonts w:ascii="Times New Roman" w:eastAsia="Times New Roman" w:hAnsi="Times New Roman"/>
      <w:sz w:val="44"/>
      <w:szCs w:val="20"/>
      <w:lang w:val="en-GB" w:eastAsia="de-DE"/>
    </w:rPr>
  </w:style>
  <w:style w:type="paragraph" w:styleId="Ttulo2">
    <w:name w:val="heading 2"/>
    <w:aliases w:val="Authors"/>
    <w:basedOn w:val="Normal"/>
    <w:next w:val="Normal"/>
    <w:link w:val="Ttulo2Car"/>
    <w:qFormat/>
    <w:rsid w:val="00363467"/>
    <w:pPr>
      <w:keepNext/>
      <w:keepLines/>
      <w:suppressAutoHyphens/>
      <w:spacing w:before="240" w:after="240" w:line="384" w:lineRule="atLeast"/>
      <w:outlineLvl w:val="1"/>
    </w:pPr>
    <w:rPr>
      <w:rFonts w:ascii="Times New Roman" w:eastAsia="Times New Roman" w:hAnsi="Times New Roman"/>
      <w:sz w:val="32"/>
      <w:szCs w:val="20"/>
      <w:lang w:val="en-GB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6E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E30"/>
  </w:style>
  <w:style w:type="paragraph" w:styleId="Piedepgina">
    <w:name w:val="footer"/>
    <w:basedOn w:val="Normal"/>
    <w:link w:val="PiedepginaCar"/>
    <w:uiPriority w:val="99"/>
    <w:unhideWhenUsed/>
    <w:rsid w:val="00F16E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E30"/>
  </w:style>
  <w:style w:type="paragraph" w:styleId="Textodeglobo">
    <w:name w:val="Balloon Text"/>
    <w:basedOn w:val="Normal"/>
    <w:link w:val="TextodegloboCar"/>
    <w:uiPriority w:val="99"/>
    <w:semiHidden/>
    <w:unhideWhenUsed/>
    <w:rsid w:val="00F16E3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6E30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6BF3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ipervnculo">
    <w:name w:val="Hyperlink"/>
    <w:uiPriority w:val="99"/>
    <w:unhideWhenUsed/>
    <w:rsid w:val="00176BF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76BF3"/>
  </w:style>
  <w:style w:type="character" w:customStyle="1" w:styleId="Ttulo1Car">
    <w:name w:val="Título 1 Car"/>
    <w:aliases w:val="Title of paper Car"/>
    <w:link w:val="Ttulo1"/>
    <w:rsid w:val="00363467"/>
    <w:rPr>
      <w:rFonts w:ascii="Times New Roman" w:eastAsia="Times New Roman" w:hAnsi="Times New Roman" w:cs="Times New Roman"/>
      <w:sz w:val="44"/>
      <w:szCs w:val="20"/>
      <w:lang w:val="en-GB" w:eastAsia="de-DE"/>
    </w:rPr>
  </w:style>
  <w:style w:type="character" w:customStyle="1" w:styleId="Ttulo2Car">
    <w:name w:val="Título 2 Car"/>
    <w:aliases w:val="Authors Car"/>
    <w:link w:val="Ttulo2"/>
    <w:rsid w:val="00363467"/>
    <w:rPr>
      <w:rFonts w:ascii="Times New Roman" w:eastAsia="Times New Roman" w:hAnsi="Times New Roman" w:cs="Times New Roman"/>
      <w:sz w:val="32"/>
      <w:szCs w:val="20"/>
      <w:lang w:val="en-GB" w:eastAsia="de-DE"/>
    </w:rPr>
  </w:style>
  <w:style w:type="paragraph" w:customStyle="1" w:styleId="Referencias">
    <w:name w:val="Referencias"/>
    <w:basedOn w:val="Lista"/>
    <w:uiPriority w:val="99"/>
    <w:rsid w:val="00363467"/>
    <w:pPr>
      <w:numPr>
        <w:numId w:val="1"/>
      </w:numPr>
      <w:suppressAutoHyphens/>
      <w:spacing w:after="0" w:line="240" w:lineRule="auto"/>
      <w:contextualSpacing w:val="0"/>
      <w:jc w:val="both"/>
    </w:pPr>
    <w:rPr>
      <w:rFonts w:ascii="Times New Roman" w:eastAsia="Times New Roman" w:hAnsi="Times New Roman"/>
      <w:sz w:val="20"/>
      <w:szCs w:val="24"/>
      <w:lang w:eastAsia="ar-SA"/>
    </w:rPr>
  </w:style>
  <w:style w:type="paragraph" w:styleId="Lista">
    <w:name w:val="List"/>
    <w:basedOn w:val="Normal"/>
    <w:uiPriority w:val="99"/>
    <w:semiHidden/>
    <w:unhideWhenUsed/>
    <w:rsid w:val="00363467"/>
    <w:pPr>
      <w:ind w:left="283" w:hanging="283"/>
      <w:contextualSpacing/>
    </w:pPr>
  </w:style>
  <w:style w:type="paragraph" w:styleId="Prrafodelista">
    <w:name w:val="List Paragraph"/>
    <w:basedOn w:val="Normal"/>
    <w:uiPriority w:val="34"/>
    <w:qFormat/>
    <w:rsid w:val="00044AA8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7F1D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1D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F1D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1D8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F1D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4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rlosfr.ruizva@correoa.uson.m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3093</CharactersWithSpaces>
  <SharedDoc>false</SharedDoc>
  <HLinks>
    <vt:vector size="6" baseType="variant">
      <vt:variant>
        <vt:i4>6488135</vt:i4>
      </vt:variant>
      <vt:variant>
        <vt:i4>0</vt:i4>
      </vt:variant>
      <vt:variant>
        <vt:i4>0</vt:i4>
      </vt:variant>
      <vt:variant>
        <vt:i4>5</vt:i4>
      </vt:variant>
      <vt:variant>
        <vt:lpwstr>mailto:carlosfr.ruizva@correoa.uson.mx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</dc:creator>
  <cp:lastModifiedBy>Roberto Pedro</cp:lastModifiedBy>
  <cp:revision>2</cp:revision>
  <cp:lastPrinted>2019-10-01T20:06:00Z</cp:lastPrinted>
  <dcterms:created xsi:type="dcterms:W3CDTF">2022-10-06T15:36:00Z</dcterms:created>
  <dcterms:modified xsi:type="dcterms:W3CDTF">2022-10-06T15:36:00Z</dcterms:modified>
</cp:coreProperties>
</file>