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dhdfh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2025-12-12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Forward-looking Organization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Forward-looking Organization Goal</w:t>
      </w:r>
    </w:p>
    <w:p>
      <w:pPr>
        <w:pStyle w:val="ListBullet"/>
        <w:spacing w:after="60"/>
      </w:pPr>
      <w:r>
        <w:t>Implement divisional staff survey action plans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Forward-looking Organization Goal — Implement divisional staff survey action plans</w:t>
      </w:r>
    </w:p>
    <w:p>
      <w:pPr>
        <w:spacing w:after="120"/>
      </w:pPr>
      <w:r>
        <w:rPr>
          <w:b/>
        </w:rPr>
        <w:t>Activities:</w:t>
      </w:r>
    </w:p>
    <w:p>
      <w:pPr>
        <w:pStyle w:val="ListBullet"/>
        <w:spacing w:after="60"/>
      </w:pPr>
      <w:r>
        <w:t>df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Forward-looking Organization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Outputs.pdf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