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>Director: ASDF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Forward-looking Organization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Forward-looking Organization Goal</w:t>
      </w:r>
    </w:p>
    <w:p>
      <w:pPr>
        <w:pStyle w:val="ListBullet"/>
        <w:spacing w:after="60"/>
      </w:pPr>
      <w:r>
        <w:t>Build capabilities to adapt to current challenges, anticipate and prepare for future circumstances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Forward-looking Organization Goal — Build capabilities to adapt to current challenges, anticipate and prepare for future circumstances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Forward-looking Organization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test 2.ics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