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 xml:space="preserve">Division: 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ListBullet"/>
        <w:spacing w:after="60"/>
      </w:pPr>
      <w:r>
        <w:t>Forward-looking Organization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2"/>
        <w:jc w:val="left"/>
      </w:pPr>
      <w:r>
        <w:t>Forward-looking Organization Goal</w:t>
      </w:r>
    </w:p>
    <w:p>
      <w:pPr>
        <w:pStyle w:val="ListBullet"/>
        <w:spacing w:after="60"/>
      </w:pPr>
      <w:r>
        <w:t>Implement modern organizational policies, practices and tools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pStyle w:val="Heading2"/>
        <w:jc w:val="left"/>
      </w:pPr>
      <w:r>
        <w:t>Forward-looking Organization Goal — Implement modern organizational policies, practices and tools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Forward-looking Organization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app.txt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