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Divisional Workplan Summary</w:t>
      </w:r>
    </w:p>
    <w:p>
      <w:pPr>
        <w:spacing w:after="120"/>
      </w:pPr>
      <w:r>
        <w:rPr>
          <w:b w:val="0"/>
        </w:rPr>
        <w:t>Division: ASDF</w:t>
      </w:r>
    </w:p>
    <w:p>
      <w:pPr>
        <w:spacing w:after="120"/>
      </w:pPr>
      <w:r>
        <w:rPr>
          <w:b w:val="0"/>
        </w:rPr>
        <w:t>Director: ASDF</w:t>
      </w:r>
    </w:p>
    <w:p>
      <w:pPr>
        <w:spacing w:after="120"/>
      </w:pPr>
      <w:r>
        <w:rPr>
          <w:b w:val="0"/>
        </w:rPr>
        <w:t>Date: 2025-12-11</w:t>
      </w:r>
    </w:p>
    <w:p>
      <w:pPr>
        <w:spacing w:after="120"/>
      </w:pPr>
      <w:r>
        <w:rPr>
          <w:b w:val="0"/>
        </w:rPr>
        <w:t>Version: ASDF</w:t>
      </w:r>
    </w:p>
    <w:p>
      <w:pPr>
        <w:spacing w:after="120"/>
      </w:pPr>
      <w:r>
        <w:rPr>
          <w:b w:val="0"/>
        </w:rPr>
        <w:t xml:space="preserve">FTEs: </w:t>
      </w:r>
    </w:p>
    <w:p>
      <w:pPr>
        <w:spacing w:after="120"/>
      </w:pPr>
      <w:r>
        <w:rPr>
          <w:b w:val="0"/>
        </w:rPr>
        <w:t xml:space="preserve">Financial Resources: </w:t>
      </w:r>
    </w:p>
    <w:p>
      <w:pPr>
        <w:spacing w:after="120"/>
      </w:pPr>
      <w:r>
        <w:rPr>
          <w:b w:val="0"/>
        </w:rPr>
        <w:t>Director Signature: Yes</w:t>
      </w:r>
    </w:p>
    <w:p>
      <w:r>
        <w:br w:type="page"/>
      </w:r>
    </w:p>
    <w:p>
      <w:pPr>
        <w:pStyle w:val="Heading1"/>
        <w:jc w:val="left"/>
      </w:pPr>
      <w:r>
        <w:t>1. Strategic Goals</w:t>
      </w:r>
    </w:p>
    <w:p>
      <w:pPr>
        <w:pStyle w:val="ListBullet"/>
        <w:spacing w:after="60"/>
      </w:pPr>
      <w:r>
        <w:t>Engaged Partner Goal</w:t>
      </w:r>
    </w:p>
    <w:p>
      <w:pPr>
        <w:pStyle w:val="ListBullet"/>
        <w:spacing w:after="60"/>
      </w:pPr>
      <w:r>
        <w:t>Forward-looking Organization Goal</w:t>
      </w:r>
    </w:p>
    <w:p>
      <w:pPr>
        <w:pStyle w:val="Heading1"/>
        <w:jc w:val="left"/>
      </w:pPr>
      <w:r>
        <w:t>2. Aggregate Divisional Objectives</w:t>
      </w:r>
    </w:p>
    <w:p>
      <w:pPr>
        <w:pStyle w:val="Heading2"/>
        <w:jc w:val="left"/>
      </w:pPr>
      <w:r>
        <w:t>Engaged Partner Goal</w:t>
      </w:r>
    </w:p>
    <w:p>
      <w:pPr>
        <w:pStyle w:val="ListBullet"/>
        <w:spacing w:after="60"/>
      </w:pPr>
      <w:r>
        <w:t xml:space="preserve">Develop, review, and strengthen partnerships </w:t>
      </w:r>
    </w:p>
    <w:p>
      <w:pPr>
        <w:pStyle w:val="ListBullet"/>
        <w:spacing w:after="60"/>
      </w:pPr>
      <w:r>
        <w:t>ASDFASFD</w:t>
      </w:r>
    </w:p>
    <w:p>
      <w:pPr>
        <w:pStyle w:val="Heading2"/>
        <w:jc w:val="left"/>
      </w:pPr>
      <w:r>
        <w:t>Forward-looking Organization Goal</w:t>
      </w:r>
    </w:p>
    <w:p>
      <w:pPr>
        <w:pStyle w:val="ListBullet"/>
        <w:spacing w:after="60"/>
      </w:pPr>
      <w:r>
        <w:t>Strengthen the Secretariat's digital and AI capabilities and security</w:t>
      </w:r>
    </w:p>
    <w:p>
      <w:pPr>
        <w:pStyle w:val="Heading1"/>
        <w:jc w:val="left"/>
      </w:pPr>
      <w:r>
        <w:t>3. Activities and Expected Results</w:t>
      </w:r>
    </w:p>
    <w:p>
      <w:pPr>
        <w:pStyle w:val="Heading2"/>
        <w:jc w:val="left"/>
      </w:pPr>
      <w:r>
        <w:t xml:space="preserve">Engaged Partner Goal — Develop, review, and strengthen partnerships </w:t>
      </w:r>
    </w:p>
    <w:p>
      <w:pPr>
        <w:spacing w:after="120"/>
      </w:pPr>
      <w:r>
        <w:rPr>
          <w:b/>
        </w:rPr>
        <w:t>Activities:</w:t>
      </w:r>
    </w:p>
    <w:p>
      <w:pPr>
        <w:pStyle w:val="ListBullet"/>
        <w:spacing w:after="60"/>
      </w:pPr>
      <w:r>
        <w:t>ASDF</w:t>
      </w:r>
    </w:p>
    <w:p>
      <w:pPr>
        <w:spacing w:after="120"/>
      </w:pPr>
      <w:r>
        <w:rPr>
          <w:b/>
        </w:rPr>
        <w:t>Expected Results:</w:t>
      </w:r>
    </w:p>
    <w:p>
      <w:pPr>
        <w:pStyle w:val="ListBullet"/>
        <w:spacing w:after="60"/>
      </w:pPr>
      <w:r>
        <w:t>ASFD</w:t>
      </w:r>
    </w:p>
    <w:p>
      <w:pPr>
        <w:pStyle w:val="Heading2"/>
        <w:jc w:val="left"/>
      </w:pPr>
      <w:r>
        <w:t>Engaged Partner Goal — ASDFASFD</w:t>
      </w:r>
    </w:p>
    <w:p>
      <w:pPr>
        <w:spacing w:after="120"/>
      </w:pPr>
      <w:r>
        <w:rPr>
          <w:b/>
        </w:rPr>
        <w:t>Activities:</w:t>
      </w:r>
    </w:p>
    <w:p>
      <w:pPr>
        <w:pStyle w:val="ListBullet"/>
        <w:spacing w:after="60"/>
      </w:pPr>
      <w:r>
        <w:t>ASFD</w:t>
      </w:r>
    </w:p>
    <w:p>
      <w:pPr>
        <w:spacing w:after="120"/>
      </w:pPr>
      <w:r>
        <w:rPr>
          <w:b/>
        </w:rPr>
        <w:t>Expected Results:</w:t>
      </w:r>
    </w:p>
    <w:p>
      <w:pPr>
        <w:pStyle w:val="ListBullet"/>
        <w:spacing w:after="60"/>
      </w:pPr>
      <w:r>
        <w:t>ASFD</w:t>
      </w:r>
    </w:p>
    <w:p>
      <w:pPr>
        <w:pStyle w:val="Heading2"/>
        <w:jc w:val="left"/>
      </w:pPr>
      <w:r>
        <w:t>Forward-looking Organization Goal — Strengthen the Secretariat's digital and AI capabilities and security</w:t>
      </w:r>
    </w:p>
    <w:p>
      <w:pPr>
        <w:spacing w:after="120"/>
      </w:pPr>
      <w:r>
        <w:rPr>
          <w:b/>
        </w:rPr>
        <w:t>Activities:</w:t>
      </w:r>
    </w:p>
    <w:p>
      <w:pPr>
        <w:pStyle w:val="ListBullet"/>
        <w:spacing w:after="60"/>
      </w:pPr>
      <w:r>
        <w:t>ASFD</w:t>
      </w:r>
    </w:p>
    <w:p>
      <w:pPr>
        <w:spacing w:after="120"/>
      </w:pPr>
      <w:r>
        <w:rPr>
          <w:b/>
        </w:rPr>
        <w:t>Expected Results:</w:t>
      </w:r>
    </w:p>
    <w:p>
      <w:pPr>
        <w:pStyle w:val="ListBullet"/>
        <w:spacing w:after="60"/>
      </w:pPr>
      <w:r>
        <w:t>ASDF</w:t>
      </w:r>
    </w:p>
    <w:p>
      <w:pPr>
        <w:pStyle w:val="Heading1"/>
        <w:jc w:val="left"/>
      </w:pPr>
      <w:r>
        <w:t>4. Metrics for Strategic Goals</w:t>
      </w:r>
    </w:p>
    <w:p>
      <w:pPr>
        <w:pStyle w:val="Heading2"/>
        <w:jc w:val="left"/>
      </w:pPr>
      <w:r>
        <w:t>Engaged Partner Goal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FTEs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Financial Resources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KPIs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Other Metrics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2"/>
        <w:jc w:val="left"/>
      </w:pPr>
      <w:r>
        <w:t>Forward-looking Organization Goal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FTEs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Financial Resources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KPIs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Other Metrics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  <w:jc w:val="left"/>
      </w:pPr>
      <w:r>
        <w:t>5. Metrics for Objectives and Results</w:t>
      </w:r>
    </w:p>
    <w:p>
      <w:pPr>
        <w:pStyle w:val="Heading2"/>
        <w:jc w:val="left"/>
      </w:pPr>
      <w:r>
        <w:t xml:space="preserve">Engaged Partner Goal — Develop, review, and strengthen partnerships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FTEs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Financial Resources</w:t>
            </w:r>
          </w:p>
        </w:tc>
        <w:tc>
          <w:tcPr>
            <w:tcW w:type="dxa" w:w="4320"/>
          </w:tcPr>
          <w:p>
            <w:r>
              <w:t>34</w:t>
            </w:r>
          </w:p>
        </w:tc>
      </w:tr>
      <w:tr>
        <w:tc>
          <w:tcPr>
            <w:tcW w:type="dxa" w:w="4320"/>
          </w:tcPr>
          <w:p>
            <w:r>
              <w:t>KPIs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Other Metrics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2"/>
        <w:jc w:val="left"/>
      </w:pPr>
      <w:r>
        <w:t>Expected Result: ASFD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FTEs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Financial Resources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KPIs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Other Metrics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2"/>
        <w:jc w:val="left"/>
      </w:pPr>
      <w:r>
        <w:t>Engaged Partner Goal — ASDFASFD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FTEs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Financial Resources</w:t>
            </w:r>
          </w:p>
        </w:tc>
        <w:tc>
          <w:tcPr>
            <w:tcW w:type="dxa" w:w="4320"/>
          </w:tcPr>
          <w:p>
            <w:r>
              <w:t>34</w:t>
            </w:r>
          </w:p>
        </w:tc>
      </w:tr>
      <w:tr>
        <w:tc>
          <w:tcPr>
            <w:tcW w:type="dxa" w:w="4320"/>
          </w:tcPr>
          <w:p>
            <w:r>
              <w:t>KPIs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Other Metrics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2"/>
        <w:jc w:val="left"/>
      </w:pPr>
      <w:r>
        <w:t>Expected Result: ASFD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FTEs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Financial Resources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KPIs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Other Metrics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2"/>
        <w:jc w:val="left"/>
      </w:pPr>
      <w:r>
        <w:t>Forward-looking Organization Goal — Strengthen the Secretariat's digital and AI capabilities and security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FTEs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Financial Resources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KPIs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Other Metrics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2"/>
        <w:jc w:val="left"/>
      </w:pPr>
      <w:r>
        <w:t>Expected Result: ASDF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FTEs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Financial Resources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KPIs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Other Metrics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  <w:jc w:val="left"/>
      </w:pPr>
      <w:r>
        <w:t>6. Additional Information</w:t>
      </w:r>
    </w:p>
    <w:p>
      <w:pPr>
        <w:spacing w:after="120"/>
      </w:pPr>
      <w:r>
        <w:rPr>
          <w:b/>
        </w:rPr>
        <w:t>Partnerships:</w:t>
      </w:r>
    </w:p>
    <w:p>
      <w:pPr>
        <w:spacing w:after="120"/>
        <w:ind w:left="480"/>
      </w:pPr>
      <w:r>
        <w:rPr>
          <w:b w:val="0"/>
        </w:rPr>
        <w:t>ASDF</w:t>
      </w:r>
    </w:p>
    <w:p>
      <w:pPr>
        <w:spacing w:after="120"/>
      </w:pPr>
      <w:r>
        <w:rPr>
          <w:b/>
        </w:rPr>
        <w:t>Events:</w:t>
      </w:r>
    </w:p>
    <w:p>
      <w:pPr>
        <w:spacing w:after="120"/>
        <w:ind w:left="480"/>
      </w:pPr>
      <w:r>
        <w:rPr>
          <w:b w:val="0"/>
        </w:rPr>
        <w:t>ASDF</w:t>
      </w:r>
    </w:p>
    <w:p>
      <w:pPr>
        <w:spacing w:after="120"/>
      </w:pPr>
      <w:r>
        <w:rPr>
          <w:b/>
        </w:rPr>
        <w:t>Knowledge Products:</w:t>
      </w:r>
    </w:p>
    <w:p>
      <w:pPr>
        <w:spacing w:after="120"/>
        <w:ind w:left="480"/>
      </w:pPr>
      <w:r>
        <w:rPr>
          <w:b w:val="0"/>
        </w:rPr>
        <w:t>ASDF</w:t>
      </w:r>
    </w:p>
    <w:p>
      <w:pPr>
        <w:spacing w:after="120"/>
      </w:pPr>
      <w:r>
        <w:rPr>
          <w:b/>
        </w:rPr>
        <w:t>Knowledge Management: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Cross-Divisional Initiatives: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Projects/Networks: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Risks:</w:t>
      </w:r>
    </w:p>
    <w:p>
      <w:pPr>
        <w:spacing w:after="120"/>
        <w:ind w:left="480"/>
      </w:pPr>
      <w:r>
        <w:rPr>
          <w:b w:val="0"/>
        </w:rPr>
        <w:t>ASDF</w:t>
      </w:r>
    </w:p>
    <w:p>
      <w:pPr>
        <w:spacing w:after="120"/>
      </w:pPr>
      <w:r>
        <w:rPr>
          <w:b/>
        </w:rPr>
        <w:t>Other Information:</w:t>
      </w:r>
    </w:p>
    <w:p>
      <w:pPr>
        <w:spacing w:after="120"/>
        <w:ind w:left="480"/>
      </w:pPr>
      <w:r>
        <w:rPr>
          <w:b w:val="0"/>
        </w:rPr>
        <w:t>ASDF</w:t>
      </w:r>
    </w:p>
    <w:p>
      <w:pPr>
        <w:pStyle w:val="Heading1"/>
        <w:jc w:val="left"/>
      </w:pPr>
      <w:r>
        <w:t>7. Annexes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