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Divisional Workplan Summary</w:t>
      </w:r>
    </w:p>
    <w:p>
      <w:pPr>
        <w:spacing w:after="120"/>
      </w:pPr>
      <w:r>
        <w:rPr>
          <w:b w:val="0"/>
        </w:rPr>
        <w:t>Division: asdf</w:t>
      </w:r>
    </w:p>
    <w:p>
      <w:pPr>
        <w:spacing w:after="120"/>
      </w:pPr>
      <w:r>
        <w:rPr>
          <w:b w:val="0"/>
        </w:rPr>
        <w:t xml:space="preserve">Director: </w:t>
      </w:r>
    </w:p>
    <w:p>
      <w:pPr>
        <w:spacing w:after="120"/>
      </w:pPr>
      <w:r>
        <w:rPr>
          <w:b w:val="0"/>
        </w:rPr>
        <w:t>Date: 2025-12-11</w:t>
      </w:r>
    </w:p>
    <w:p>
      <w:pPr>
        <w:spacing w:after="120"/>
      </w:pPr>
      <w:r>
        <w:rPr>
          <w:b w:val="0"/>
        </w:rPr>
        <w:t xml:space="preserve">Version: </w:t>
      </w:r>
    </w:p>
    <w:p>
      <w:pPr>
        <w:spacing w:after="120"/>
      </w:pPr>
      <w:r>
        <w:rPr>
          <w:b w:val="0"/>
        </w:rPr>
        <w:t xml:space="preserve">FTEs: </w:t>
      </w:r>
    </w:p>
    <w:p>
      <w:pPr>
        <w:spacing w:after="120"/>
      </w:pPr>
      <w:r>
        <w:rPr>
          <w:b w:val="0"/>
        </w:rPr>
        <w:t xml:space="preserve">Financial Resources: </w:t>
      </w:r>
    </w:p>
    <w:p>
      <w:pPr>
        <w:spacing w:after="120"/>
      </w:pPr>
      <w:r>
        <w:rPr>
          <w:b w:val="0"/>
        </w:rPr>
        <w:t>Director Signature: Yes</w:t>
      </w:r>
    </w:p>
    <w:p>
      <w:r>
        <w:br w:type="page"/>
      </w:r>
    </w:p>
    <w:p>
      <w:pPr>
        <w:pStyle w:val="Heading1"/>
        <w:jc w:val="left"/>
      </w:pPr>
      <w:r>
        <w:t>1. Strategic Goals</w:t>
      </w:r>
    </w:p>
    <w:p>
      <w:pPr>
        <w:pStyle w:val="ListBullet"/>
        <w:spacing w:after="60"/>
      </w:pPr>
      <w:r>
        <w:t>Knowledge Hub Goal</w:t>
      </w:r>
    </w:p>
    <w:p>
      <w:pPr>
        <w:pStyle w:val="Heading1"/>
        <w:jc w:val="left"/>
      </w:pPr>
      <w:r>
        <w:t>2. Aggregate Divisional Objectives</w:t>
      </w:r>
    </w:p>
    <w:p>
      <w:pPr>
        <w:pStyle w:val="Heading2"/>
        <w:jc w:val="left"/>
      </w:pPr>
      <w:r>
        <w:t>Knowledge Hub Goal</w:t>
      </w:r>
    </w:p>
    <w:p>
      <w:pPr>
        <w:pStyle w:val="ListBullet"/>
        <w:spacing w:after="60"/>
      </w:pPr>
      <w:r>
        <w:t>Ensure the timely delivery of key WTO publications, statistics, data and products</w:t>
      </w:r>
    </w:p>
    <w:p>
      <w:pPr>
        <w:pStyle w:val="Heading1"/>
        <w:jc w:val="left"/>
      </w:pPr>
      <w:r>
        <w:t>3. Activities and Expected Results</w:t>
      </w:r>
    </w:p>
    <w:p>
      <w:pPr>
        <w:pStyle w:val="Heading2"/>
        <w:jc w:val="left"/>
      </w:pPr>
      <w:r>
        <w:t>Knowledge Hub Goal — Ensure the timely delivery of key WTO publications, statistics, data and products</w:t>
      </w:r>
    </w:p>
    <w:p>
      <w:pPr>
        <w:spacing w:after="120"/>
      </w:pPr>
      <w:r>
        <w:rPr>
          <w:b/>
        </w:rPr>
        <w:t>Activities:</w:t>
      </w:r>
    </w:p>
    <w:p>
      <w:pPr>
        <w:pStyle w:val="ListBullet"/>
        <w:spacing w:after="60"/>
      </w:pPr>
      <w:r>
        <w:t>asdf</w:t>
      </w:r>
    </w:p>
    <w:p>
      <w:pPr>
        <w:pStyle w:val="Heading1"/>
        <w:jc w:val="left"/>
      </w:pPr>
      <w:r>
        <w:t>4. Metrics for Strategic Goals</w:t>
      </w:r>
    </w:p>
    <w:p>
      <w:pPr>
        <w:pStyle w:val="Heading2"/>
        <w:jc w:val="left"/>
      </w:pPr>
      <w:r>
        <w:t>Knowledge Hub Goal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FTEs</w:t>
            </w:r>
          </w:p>
        </w:tc>
        <w:tc>
          <w:tcPr>
            <w:tcW w:type="dxa" w:w="4320"/>
          </w:tcPr>
          <w:p>
            <w:r>
              <w:t>asdf</w:t>
            </w:r>
          </w:p>
        </w:tc>
      </w:tr>
      <w:tr>
        <w:tc>
          <w:tcPr>
            <w:tcW w:type="dxa" w:w="4320"/>
          </w:tcPr>
          <w:p>
            <w:r>
              <w:t>Financial Resources</w:t>
            </w:r>
          </w:p>
        </w:tc>
        <w:tc>
          <w:tcPr>
            <w:tcW w:type="dxa" w:w="4320"/>
          </w:tcPr>
          <w:p>
            <w:r>
              <w:t>asfd</w:t>
            </w:r>
          </w:p>
        </w:tc>
      </w:tr>
      <w:tr>
        <w:tc>
          <w:tcPr>
            <w:tcW w:type="dxa" w:w="4320"/>
          </w:tcPr>
          <w:p>
            <w:r>
              <w:t>KPIs</w:t>
            </w:r>
          </w:p>
        </w:tc>
        <w:tc>
          <w:tcPr>
            <w:tcW w:type="dxa" w:w="4320"/>
          </w:tcPr>
          <w:p>
            <w:r>
              <w:t>asdf</w:t>
            </w:r>
          </w:p>
        </w:tc>
      </w:tr>
      <w:tr>
        <w:tc>
          <w:tcPr>
            <w:tcW w:type="dxa" w:w="4320"/>
          </w:tcPr>
          <w:p>
            <w:r>
              <w:t>Other Metrics</w:t>
            </w:r>
          </w:p>
        </w:tc>
        <w:tc>
          <w:tcPr>
            <w:tcW w:type="dxa" w:w="4320"/>
          </w:tcPr>
          <w:p>
            <w:r>
              <w:t>asdf</w:t>
            </w:r>
          </w:p>
        </w:tc>
      </w:tr>
    </w:tbl>
    <w:p/>
    <w:p>
      <w:pPr>
        <w:pStyle w:val="Heading1"/>
        <w:jc w:val="left"/>
      </w:pPr>
      <w:r>
        <w:t>5. Metrics for Objectives and Results</w:t>
      </w:r>
    </w:p>
    <w:p>
      <w:pPr>
        <w:pStyle w:val="Heading2"/>
        <w:jc w:val="left"/>
      </w:pPr>
      <w:r>
        <w:t>Knowledge Hub Goal — Ensure the timely delivery of key WTO publications, statistics, data and products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FTEs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Financial Resources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KPIs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Other Metrics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  <w:jc w:val="left"/>
      </w:pPr>
      <w:r>
        <w:t>6. Additional Information</w:t>
      </w:r>
    </w:p>
    <w:p>
      <w:pPr>
        <w:spacing w:after="120"/>
      </w:pPr>
      <w:r>
        <w:rPr>
          <w:b/>
        </w:rPr>
        <w:t>Partnerships: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Events: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Knowledge Products: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Knowledge Management:</w:t>
      </w:r>
    </w:p>
    <w:p>
      <w:pPr>
        <w:spacing w:after="120"/>
        <w:ind w:left="480"/>
      </w:pPr>
      <w:r>
        <w:rPr>
          <w:b w:val="0"/>
        </w:rPr>
        <w:t>asdf</w:t>
      </w:r>
    </w:p>
    <w:p>
      <w:pPr>
        <w:spacing w:after="120"/>
      </w:pPr>
      <w:r>
        <w:rPr>
          <w:b/>
        </w:rPr>
        <w:t>Cross-Divisional Initiatives:</w:t>
      </w:r>
    </w:p>
    <w:p>
      <w:pPr>
        <w:spacing w:after="120"/>
        <w:ind w:left="480"/>
      </w:pPr>
      <w:r>
        <w:rPr>
          <w:b w:val="0"/>
        </w:rPr>
        <w:t>asfd</w:t>
      </w:r>
    </w:p>
    <w:p>
      <w:pPr>
        <w:spacing w:after="120"/>
      </w:pPr>
      <w:r>
        <w:rPr>
          <w:b/>
        </w:rPr>
        <w:t>Projects/Networks:</w:t>
      </w:r>
    </w:p>
    <w:p>
      <w:pPr>
        <w:spacing w:after="120"/>
        <w:ind w:left="480"/>
      </w:pPr>
      <w:r>
        <w:rPr>
          <w:b w:val="0"/>
        </w:rPr>
        <w:t>asdf</w:t>
      </w:r>
    </w:p>
    <w:p>
      <w:pPr>
        <w:spacing w:after="120"/>
      </w:pPr>
      <w:r>
        <w:rPr>
          <w:b/>
        </w:rPr>
        <w:t>Risks: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Other Information: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pStyle w:val="Heading1"/>
        <w:jc w:val="left"/>
      </w:pPr>
      <w:r>
        <w:t>7. Annexes</w:t>
      </w:r>
    </w:p>
    <w:p>
      <w:pPr>
        <w:pStyle w:val="ListBullet"/>
        <w:spacing w:after="60"/>
      </w:pPr>
      <w:r>
        <w:t>notes_1_1765478952.png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