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wergwg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Excellent Service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Excellent Service Goal</w:t>
      </w:r>
    </w:p>
    <w:p>
      <w:pPr>
        <w:pStyle w:val="ListBullet"/>
        <w:spacing w:after="60"/>
      </w:pPr>
      <w:r>
        <w:t>Deliver technical assistance and capacity-building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Excellent Service Goal — Deliver technical assistance and capacity-building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Excellent Service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The KM Network Charter (1).pptx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