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700"/>
        <w:jc w:val="center"/>
      </w:pPr>
      <w:r>
        <w:rPr>
          <w:sz w:val="20"/>
          <w:szCs w:val="20"/>
        </w:rPr>
        <w:t xml:space="preserve">UNIVERSIDAD DE LA SABANA</w:t>
      </w:r>
    </w:p>
    <w:p>
      <w:pPr>
        <w:spacing w:after="180"/>
        <w:jc w:val="center"/>
      </w:pPr>
      <w:r>
        <w:rPr>
          <w:sz w:val="20"/>
          <w:szCs w:val="20"/>
        </w:rPr>
        <w:t xml:space="preserve">Facultad de Ingeniería</w:t>
      </w:r>
    </w:p>
    <w:p>
      <w:pPr>
        <w:spacing w:after="180"/>
        <w:jc w:val="center"/>
      </w:pPr>
      <w:r>
        <w:rPr>
          <w:sz w:val="20"/>
          <w:szCs w:val="20"/>
        </w:rPr>
        <w:t xml:space="preserve">Observabilidad en ambientes productivos</w:t>
      </w:r>
    </w:p>
    <w:p>
      <w:pPr>
        <w:spacing w:before="900" w:line="380"/>
        <w:jc w:val="center"/>
      </w:pPr>
      <w:r>
        <w:rPr>
          <w:rFonts w:ascii="Aptos Light" w:cs="Aptos Light" w:eastAsia="Aptos Light" w:hAnsi="Aptos Light"/>
          <w:sz w:val="50"/>
          <w:szCs w:val="50"/>
        </w:rPr>
        <w:t xml:space="preserve">Plan de Game Day: Chaos Engineering sobre el pipeline OpenTelemetry</w:t>
      </w:r>
    </w:p>
    <w:p>
      <w:pPr>
        <w:pBdr>
          <w:bottom w:val="single" w:color="2E86DE" w:sz="12" w:space="1"/>
        </w:pBdr>
        <w:spacing w:after="1100" w:before="5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0A2C52" w:sz="6"/>
              <w:left w:val="single" w:color="0A2C52" w:sz="6"/>
              <w:bottom w:val="single" w:color="0A2C52" w:sz="6"/>
              <w:right w:val="single" w:color="0A2C52" w:sz="6"/>
            </w:tcBorders>
            <w:shd w:fill="D6E8F7" w:color="auto" w:val="clear"/>
            <w:tcMar>
              <w:top w:type="dxa" w:w="180"/>
              <w:left w:type="dxa" w:w="160"/>
              <w:bottom w:type="dxa" w:w="240"/>
              <w:right w:type="dxa" w:w="160"/>
            </w:tcMar>
          </w:tcPr>
          <w:p>
            <w:pPr>
              <w:spacing w:after="160"/>
              <w:jc w:val="center"/>
            </w:pPr>
            <w:r>
              <w:rPr>
                <w:sz w:val="20"/>
                <w:szCs w:val="20"/>
              </w:rPr>
              <w:t xml:space="preserve">MATERIA</w:t>
            </w:r>
          </w:p>
          <w:p>
            <w:pPr>
              <w:spacing w:after="100"/>
              <w:jc w:val="center"/>
            </w:pPr>
            <w:r>
              <w:rPr>
                <w:sz w:val="20"/>
                <w:szCs w:val="20"/>
              </w:rPr>
              <w:t xml:space="preserve">Observabilidad en ambientes productivos</w:t>
            </w:r>
          </w:p>
        </w:tc>
        <w:tc>
          <w:tcPr>
            <w:tcW w:type="dxa" w:w="4535"/>
            <w:tcBorders>
              <w:top w:val="single" w:color="0A2C52" w:sz="6"/>
              <w:left w:val="single" w:color="0A2C52" w:sz="6"/>
              <w:bottom w:val="single" w:color="0A2C52" w:sz="6"/>
              <w:right w:val="single" w:color="0A2C52" w:sz="6"/>
            </w:tcBorders>
            <w:shd w:fill="EDE9F8" w:color="auto" w:val="clear"/>
            <w:tcMar>
              <w:top w:type="dxa" w:w="180"/>
              <w:left w:type="dxa" w:w="160"/>
              <w:bottom w:type="dxa" w:w="240"/>
              <w:right w:type="dxa" w:w="160"/>
            </w:tcMar>
          </w:tcPr>
          <w:p>
            <w:pPr>
              <w:spacing w:after="160"/>
              <w:jc w:val="center"/>
            </w:pPr>
            <w:r>
              <w:rPr>
                <w:sz w:val="20"/>
                <w:szCs w:val="20"/>
              </w:rPr>
              <w:t xml:space="preserve">ENTREGABLE</w:t>
            </w:r>
          </w:p>
          <w:p>
            <w:pPr>
              <w:spacing w:after="100"/>
              <w:jc w:val="center"/>
            </w:pPr>
            <w:r>
              <w:rPr>
                <w:sz w:val="20"/>
                <w:szCs w:val="20"/>
              </w:rPr>
              <w:t xml:space="preserve">Laboratorio plan de Game Day</w:t>
            </w:r>
          </w:p>
          <w:p>
            <w:pPr>
              <w:spacing w:after="100"/>
              <w:jc w:val="center"/>
            </w:pPr>
            <w:r>
              <w:rPr>
                <w:sz w:val="20"/>
                <w:szCs w:val="20"/>
              </w:rPr>
              <w:t xml:space="preserve">Octubre 2026</w:t>
            </w:r>
          </w:p>
        </w:tc>
      </w:tr>
    </w:tbl>
    <w:p>
      <w:pPr>
        <w:spacing w:after="40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450"/>
      </w:tblGrid>
      <w:tr>
        <w:tc>
          <w:tcPr>
            <w:tcW w:type="dxa" w:w="907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C52" w:color="auto" w:val="clear"/>
            <w:tcMar>
              <w:top w:type="dxa" w:w="160"/>
              <w:bottom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Estudiantes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6E8F7" w:sz="6"/>
              <w:right w:val="none" w:color="FFFFFF" w:sz="0"/>
            </w:tcBorders>
            <w:shd w:fill="2E86DE" w:color="auto" w:val="clear"/>
            <w:tcMar>
              <w:top w:type="dxa" w:w="100"/>
              <w:bottom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single" w:color="D6E8F7" w:sz="6"/>
              <w:right w:val="none" w:color="FFFFFF" w:sz="0"/>
            </w:tcBorders>
            <w:shd w:fill="F2F4F7" w:color="auto" w:val="clear"/>
            <w:tcMar>
              <w:top w:type="dxa" w:w="100"/>
              <w:left w:type="dxa" w:w="200"/>
              <w:bottom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David Aníbal </w:t>
            </w:r>
            <w:r>
              <w:rPr>
                <w:rFonts w:ascii="Arial" w:cs="Arial" w:eastAsia="Arial" w:hAnsi="Arial"/>
                <w:b/>
                <w:bCs/>
                <w:color w:val="0A2C52"/>
                <w:sz w:val="19"/>
                <w:szCs w:val="19"/>
              </w:rPr>
              <w:t xml:space="preserve">Vásquez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6E8F7" w:sz="6"/>
              <w:right w:val="none" w:color="FFFFFF" w:sz="0"/>
            </w:tcBorders>
            <w:shd w:fill="2E86DE" w:color="auto" w:val="clear"/>
            <w:tcMar>
              <w:top w:type="dxa" w:w="100"/>
              <w:bottom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single" w:color="D6E8F7" w:sz="6"/>
              <w:right w:val="none" w:color="FFFFFF" w:sz="0"/>
            </w:tcBorders>
            <w:shd w:fill="F2F4F7" w:color="auto" w:val="clear"/>
            <w:tcMar>
              <w:top w:type="dxa" w:w="100"/>
              <w:left w:type="dxa" w:w="200"/>
              <w:bottom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Sergio Andrés </w:t>
            </w:r>
            <w:r>
              <w:rPr>
                <w:rFonts w:ascii="Arial" w:cs="Arial" w:eastAsia="Arial" w:hAnsi="Arial"/>
                <w:b/>
                <w:bCs/>
                <w:color w:val="0A2C52"/>
                <w:sz w:val="19"/>
                <w:szCs w:val="19"/>
              </w:rPr>
              <w:t xml:space="preserve">Cobos</w:t>
            </w:r>
          </w:p>
        </w:tc>
      </w:tr>
      <w:t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6E8F7" w:sz="6"/>
              <w:right w:val="none" w:color="FFFFFF" w:sz="0"/>
            </w:tcBorders>
            <w:shd w:fill="2E86DE" w:color="auto" w:val="clear"/>
            <w:tcMar>
              <w:top w:type="dxa" w:w="100"/>
              <w:bottom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single" w:color="D6E8F7" w:sz="6"/>
              <w:right w:val="none" w:color="FFFFFF" w:sz="0"/>
            </w:tcBorders>
            <w:shd w:fill="F2F4F7" w:color="auto" w:val="clear"/>
            <w:tcMar>
              <w:top w:type="dxa" w:w="100"/>
              <w:left w:type="dxa" w:w="200"/>
              <w:bottom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Sebastián </w:t>
            </w:r>
            <w:r>
              <w:rPr>
                <w:rFonts w:ascii="Arial" w:cs="Arial" w:eastAsia="Arial" w:hAnsi="Arial"/>
                <w:b/>
                <w:bCs/>
                <w:color w:val="0A2C52"/>
                <w:sz w:val="19"/>
                <w:szCs w:val="19"/>
              </w:rPr>
              <w:t xml:space="preserve">Bedoya Flórez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Alcance del Game Day</w:t>
      </w:r>
    </w:p>
    <w:p>
      <w:r>
        <w:t xml:space="preserve">El Game Day se aplica sobre la arquitectura del laboratorio anterior: service-a (órdenes) llama por
HTTP a service-b (inventario), ambos usan PostgreSQL, y todo está instrumentado con OpenTelemetry y
observado con Prometheus, Grafana, Jaeger y Loki. El objetivo no es causar fallos al azar, sino
</w:t>
      </w:r>
      <w:r>
        <w:rPr>
          <w:b/>
          <w:bCs/>
        </w:rPr>
        <w:t xml:space="preserve">poner a prueba hipótesis explícitas</w:t>
      </w:r>
      <w:r>
        <w:t xml:space="preserve"> (Basiri et al., 2016), en un </w:t>
      </w:r>
      <w:r>
        <w:rPr>
          <w:b/>
          <w:bCs/>
        </w:rPr>
        <w:t xml:space="preserve">entorno local aislado</w:t>
      </w:r>
      <w:r>
        <w:t xml:space="preserve"> (Docker
sobre Colima) y con condiciones de aborto y rollback definidas antes de inyectar cualquier fallo.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Tabla 1</w:t>
      </w:r>
    </w:p>
    <w:p>
      <w:pPr>
        <w:pStyle w:val="TablaTit"/>
      </w:pPr>
      <w:r>
        <w:rPr>
          <w:rFonts w:ascii="Arial" w:cs="Arial" w:eastAsia="Arial" w:hAnsi="Arial"/>
          <w:sz w:val="17"/>
          <w:szCs w:val="17"/>
        </w:rPr>
        <w:t xml:space="preserve">Estado estable y reglas de seguridad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0"/>
        <w:gridCol w:w="6060"/>
      </w:tblGrid>
      <w:tr>
        <w:trPr>
          <w:cantSplit/>
          <w:tblHeader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Elemento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Estado estable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Carga abierta de 50 iteraciones/s con k6 (~55 req/s). En service-a: errores 5xx &lt; 2% y p99 &lt; 500 ms durante 2 min, verificados en Prometheus antes de inyectar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Condiciones de aborto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Errores 5xx &gt; 5% o p99 &gt; 5 s en service-a, evaluadas cada 10 s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Rollback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Automático al terminar, al abortar, ante un error del script o con Ctrl-C (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trap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Roles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Coordinador (decide abortar), operador de inyección, observador de SLIs y trazas, y escriba (bitácora)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Hipótesis de fallo</w:t>
      </w:r>
    </w:p>
    <w:p>
      <w:r>
        <w:t xml:space="preserve">Siguiendo los Principios de Chaos Engineering (s. f.), cada hipótesis fija una condición y un
comportamiento esperado medible (tabla 2).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Tabla 2</w:t>
      </w:r>
    </w:p>
    <w:p>
      <w:pPr>
        <w:pStyle w:val="TablaTit"/>
      </w:pPr>
      <w:r>
        <w:rPr>
          <w:rFonts w:ascii="Arial" w:cs="Arial" w:eastAsia="Arial" w:hAnsi="Arial"/>
          <w:sz w:val="17"/>
          <w:szCs w:val="17"/>
        </w:rPr>
        <w:t xml:space="preserve">Hipótesis de fallo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1"/>
        <w:gridCol w:w="7959"/>
      </w:tblGrid>
      <w:tr>
        <w:trPr>
          <w:cantSplit/>
          <w:tblHeader/>
        </w:trPr>
        <w:tc>
          <w:tcPr>
            <w:tcW w:type="dxa" w:w="1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#</w:t>
            </w:r>
          </w:p>
        </w:tc>
        <w:tc>
          <w:tcPr>
            <w:tcW w:type="dxa" w:w="7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Hipótesis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H1</w:t>
            </w:r>
          </w:p>
        </w:tc>
        <w:tc>
          <w:tcPr>
            <w:tcW w:type="dxa" w:w="7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estado estable,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cuando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la red entre service-b y service-a agrega de 100 a 1000 ms de latencia,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esperamos que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service-a absorba la demora sin errores (timeout de 5 s) y que solo se degraden las rutas que dependen de service-b;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GET /api/orders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que no lo llama, debe mantener su p99 &lt; 100 ms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H2</w:t>
            </w:r>
          </w:p>
        </w:tc>
        <w:tc>
          <w:tcPr>
            <w:tcW w:type="dxa" w:w="7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estado estable,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cuando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service-b recibe una carga de CPU del 100% de su núcleo durante 5 min,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esperamos que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el p99 de la reserva suba sin pasar de 1 s, sin errores 5xx ni pérdida de telemetría</w:t>
            </w:r>
          </w:p>
        </w:tc>
      </w:tr>
      <w:tr>
        <w:trPr>
          <w:cantSplit/>
        </w:trPr>
        <w:tc>
          <w:tcPr>
            <w:tcW w:type="dxa" w:w="11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H3</w:t>
            </w:r>
          </w:p>
        </w:tc>
        <w:tc>
          <w:tcPr>
            <w:tcW w:type="dxa" w:w="79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estado estable,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cuando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service-b pierde la conexión con PostgreSQL durante 60 s,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esperamos que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service-b falle rápido (≤ 5 s, 503), que service-a responda 502 sin bloquearse y que el sistema se recupere solo en &lt; 30 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Experimentos de caos diseñados</w:t>
      </w:r>
    </w:p>
    <w:p>
      <w:r>
        <w:t xml:space="preserve">La tabla 3 define el tipo de fallo, el radio de impacto, la duración y el rollback de cada
experimento. Incluye la inyección local y su equivalente conceptual en Gremlin y LitmusChaos, las
plataformas que se usarían en un clúster.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Tabla 3</w:t>
      </w:r>
    </w:p>
    <w:p>
      <w:pPr>
        <w:pStyle w:val="TablaTit"/>
      </w:pPr>
      <w:r>
        <w:rPr>
          <w:rFonts w:ascii="Arial" w:cs="Arial" w:eastAsia="Arial" w:hAnsi="Arial"/>
          <w:sz w:val="17"/>
          <w:szCs w:val="17"/>
        </w:rPr>
        <w:t xml:space="preserve">Diseño de los experimentos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9"/>
        <w:gridCol w:w="1236"/>
        <w:gridCol w:w="2817"/>
        <w:gridCol w:w="1557"/>
        <w:gridCol w:w="1389"/>
        <w:gridCol w:w="1412"/>
      </w:tblGrid>
      <w:tr>
        <w:trPr>
          <w:cantSplit/>
          <w:tblHeader/>
        </w:trPr>
        <w:tc>
          <w:tcPr>
            <w:tcW w:type="dxa" w:w="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Exp.</w:t>
            </w:r>
          </w:p>
        </w:tc>
        <w:tc>
          <w:tcPr>
            <w:tcW w:type="dxa" w:w="1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Fallo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Inyección local · equivalente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Radio de impacto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Duración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Rollback automático</w:t>
            </w:r>
          </w:p>
        </w:tc>
      </w:tr>
      <w:tr>
        <w:trPr>
          <w:cantSplit/>
        </w:trPr>
        <w:tc>
          <w:tcPr>
            <w:tcW w:type="dxa" w:w="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E1 (H1)</w:t>
            </w:r>
          </w:p>
        </w:tc>
        <w:tc>
          <w:tcPr>
            <w:tcW w:type="dxa" w:w="1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Latencia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tc netem delay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con filtro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u32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hacia service-a · Gremlin </w:t>
            </w: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Latency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Litmus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pod-network-latency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el enlace service-b → service-a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+100, +400 y +1000 ms, 2 min cada fase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tc qdisc del</w:t>
            </w:r>
          </w:p>
        </w:tc>
      </w:tr>
      <w:tr>
        <w:trPr>
          <w:cantSplit/>
        </w:trPr>
        <w:tc>
          <w:tcPr>
            <w:tcW w:type="dxa" w:w="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E2 (H2)</w:t>
            </w:r>
          </w:p>
        </w:tc>
        <w:tc>
          <w:tcPr>
            <w:tcW w:type="dxa" w:w="1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CPU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stress-ng --cpu 1 --cpu-load 100 --timeout 300s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 service-b · Gremlin </w:t>
            </w: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CPU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Litmus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pod-cpu-hog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contenedor (1 CPU)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min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--timeout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kill</w:t>
            </w:r>
          </w:p>
        </w:tc>
      </w:tr>
      <w:tr>
        <w:trPr>
          <w:cantSplit/>
        </w:trPr>
        <w:tc>
          <w:tcPr>
            <w:tcW w:type="dxa" w:w="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E3 (H3)</w:t>
            </w:r>
          </w:p>
        </w:tc>
        <w:tc>
          <w:tcPr>
            <w:tcW w:type="dxa" w:w="12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Partición de red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iptables -A OUTPUT -d &lt;IP PostgreSQL&gt; -j DROP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 service-b · Gremlin </w:t>
            </w: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Blackhole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Litmus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pod-network-partition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service-b → PostgreSQL</w:t>
            </w:r>
          </w:p>
        </w:tc>
        <w:tc>
          <w:tcPr>
            <w:tcW w:type="dxa" w:w="13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 s</w:t>
            </w:r>
          </w:p>
        </w:tc>
        <w:tc>
          <w:tcPr>
            <w:tcW w:type="dxa" w:w="1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iptables -D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timeout</w:t>
            </w:r>
          </w:p>
        </w:tc>
      </w:tr>
    </w:tbl>
    <w:p>
      <w:pPr>
        <w:spacing w:after="120"/>
      </w:pPr>
    </w:p>
    <w:p>
      <w:r>
        <w:t xml:space="preserve">Cuando los tres pasen, el siguiente paso es la terminación aleatoria de réplicas al estilo de Chaos
Monkey (Litmus </w:t>
      </w:r>
      <w:r>
        <w:rPr>
          <w:rFonts w:ascii="Courier New" w:cs="Courier New" w:eastAsia="Courier New" w:hAnsi="Courier New"/>
          <w:sz w:val="19"/>
          <w:szCs w:val="19"/>
        </w:rPr>
        <w:t xml:space="preserve">pod-delete</w:t>
      </w:r>
      <w:r>
        <w:t xml:space="preserve"> en GKE), para validar la redundancia y la reprogramación de Kubernetes.</w:t>
      </w:r>
    </w:p>
    <w:p>
      <w:pPr>
        <w:pStyle w:val="Heading1"/>
      </w:pPr>
      <w:r>
        <w:t xml:space="preserve">4. Métricas de observabilidad para verificar las hipótesis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Tabla 4</w:t>
      </w:r>
    </w:p>
    <w:p>
      <w:pPr>
        <w:pStyle w:val="TablaTit"/>
      </w:pPr>
      <w:r>
        <w:rPr>
          <w:rFonts w:ascii="Arial" w:cs="Arial" w:eastAsia="Arial" w:hAnsi="Arial"/>
          <w:sz w:val="17"/>
          <w:szCs w:val="17"/>
        </w:rPr>
        <w:t xml:space="preserve">Señales de observabilidad por hipótesis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4938"/>
        <w:gridCol w:w="3609"/>
      </w:tblGrid>
      <w:tr>
        <w:trPr>
          <w:cantSplit/>
          <w:tblHeader/>
        </w:trPr>
        <w:tc>
          <w:tcPr>
            <w:tcW w:type="dxa" w:w="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#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SLI que mide el impacto (Prometheus)</w:t>
            </w:r>
          </w:p>
        </w:tc>
        <w:tc>
          <w:tcPr>
            <w:tcW w:type="dxa" w:w="3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Logs y trazas que confirman el comportamiento</w:t>
            </w:r>
          </w:p>
        </w:tc>
      </w:tr>
      <w:tr>
        <w:trPr>
          <w:cantSplit/>
        </w:trPr>
        <w:tc>
          <w:tcPr>
            <w:tcW w:type="dxa" w:w="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H1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p99 por ruta (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http_server_request_duration_seconds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por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http_route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), tasa de 5xx y solicitudes concurrentes (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http_server_active_requests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  <w:tc>
          <w:tcPr>
            <w:tcW w:type="dxa" w:w="3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"Error de red llamando a service-b" en Loki. En Jaeger, el span cliente hacia service-b crece y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inventory.reserve_stock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no</w:t>
            </w:r>
          </w:p>
        </w:tc>
      </w:tr>
      <w:tr>
        <w:trPr>
          <w:cantSplit/>
        </w:trPr>
        <w:tc>
          <w:tcPr>
            <w:tcW w:type="dxa" w:w="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H2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p99 de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POST /api/orders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CPU de service-b (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process_cpu_time_seconds_total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 y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otelcol_exporter_send_failed_*</w:t>
            </w:r>
          </w:p>
        </w:tc>
        <w:tc>
          <w:tcPr>
            <w:tcW w:type="dxa" w:w="3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inventory.reserve_stock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crece pero sus spans SQL no (el cuello es la CPU, no la base de datos)</w:t>
            </w:r>
          </w:p>
        </w:tc>
      </w:tr>
      <w:tr>
        <w:trPr>
          <w:cantSplit/>
        </w:trPr>
        <w:tc>
          <w:tcPr>
            <w:tcW w:type="dxa" w:w="5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H3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Tasa de 5xx por servicio, tiempo hasta el primer 503 y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db_client_connections_usage</w:t>
            </w:r>
          </w:p>
        </w:tc>
        <w:tc>
          <w:tcPr>
            <w:tcW w:type="dxa" w:w="3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"service-b respondió con error" en service-a; spans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connect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con estado ERROR y reserva ≤ 5 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Ejecución del experimento E1 y resultados</w:t>
      </w:r>
    </w:p>
    <w:p>
      <w:r>
        <w:t xml:space="preserve">E1 se ejecutó con </w:t>
      </w:r>
      <w:r>
        <w:rPr>
          <w:rFonts w:ascii="Courier New" w:cs="Courier New" w:eastAsia="Courier New" w:hAnsi="Courier New"/>
          <w:sz w:val="19"/>
          <w:szCs w:val="19"/>
        </w:rPr>
        <w:t xml:space="preserve">GameDay/chaos/exp1-latencia-red.sh</w:t>
      </w:r>
      <w:r>
        <w:t xml:space="preserve">. La latencia se inyectó con </w:t>
      </w:r>
      <w:r>
        <w:rPr>
          <w:rFonts w:ascii="Courier New" w:cs="Courier New" w:eastAsia="Courier New" w:hAnsi="Courier New"/>
          <w:sz w:val="19"/>
          <w:szCs w:val="19"/>
        </w:rPr>
        <w:t xml:space="preserve">tc netem</w:t>
      </w:r>
      <w:r>
        <w:t xml:space="preserve"> desde un
contenedor auxiliar (</w:t>
      </w:r>
      <w:r>
        <w:rPr>
          <w:rFonts w:ascii="Courier New" w:cs="Courier New" w:eastAsia="Courier New" w:hAnsi="Courier New"/>
          <w:sz w:val="19"/>
          <w:szCs w:val="19"/>
        </w:rPr>
        <w:t xml:space="preserve">nicolaka/netshoot</w:t>
      </w:r>
      <w:r>
        <w:t xml:space="preserve">) que comparte la red de service-b. El filtro limitó la demora
a los paquetes dirigidos a service-a: en una prueba previa con +200 ms, </w:t>
      </w:r>
      <w:r>
        <w:rPr>
          <w:rFonts w:ascii="Courier New" w:cs="Courier New" w:eastAsia="Courier New" w:hAnsi="Courier New"/>
          <w:sz w:val="19"/>
          <w:szCs w:val="19"/>
        </w:rPr>
        <w:t xml:space="preserve">POST /api/orders</w:t>
      </w:r>
      <w:r>
        <w:t xml:space="preserve"> subió de
8 a 230 ms y </w:t>
      </w:r>
      <w:r>
        <w:rPr>
          <w:rFonts w:ascii="Courier New" w:cs="Courier New" w:eastAsia="Courier New" w:hAnsi="Courier New"/>
          <w:sz w:val="19"/>
          <w:szCs w:val="19"/>
        </w:rPr>
        <w:t xml:space="preserve">GET /api/orders</w:t>
      </w:r>
      <w:r>
        <w:t xml:space="preserve"> se quedó en 4 ms. El script verificó el estado estable (p99 de 24 ms,
0% de errores) antes de inyectar.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Tabla 5</w:t>
      </w:r>
    </w:p>
    <w:p>
      <w:pPr>
        <w:pStyle w:val="TablaTit"/>
      </w:pPr>
      <w:r>
        <w:rPr>
          <w:rFonts w:ascii="Arial" w:cs="Arial" w:eastAsia="Arial" w:hAnsi="Arial"/>
          <w:sz w:val="17"/>
          <w:szCs w:val="17"/>
        </w:rPr>
        <w:t xml:space="preserve">Resultados por fase del experimento E1 (medianas de p99)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29"/>
        <w:gridCol w:w="1391"/>
        <w:gridCol w:w="1486"/>
        <w:gridCol w:w="1400"/>
        <w:gridCol w:w="1429"/>
        <w:gridCol w:w="1116"/>
        <w:gridCol w:w="819"/>
      </w:tblGrid>
      <w:tr>
        <w:trPr>
          <w:cantSplit/>
          <w:tblHeader/>
        </w:trPr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Fase</w:t>
            </w:r>
          </w:p>
        </w:tc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POST /api/orders (depende de B)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GET /api/catalog (depende de B)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GET /api/orders (no depende de B)</w:t>
            </w:r>
          </w:p>
        </w:tc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Concurrentes (máx.)</w:t>
            </w:r>
          </w:p>
        </w:tc>
        <w:tc>
          <w:tcPr>
            <w:tcW w:type="dxa" w:w="1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CPU service-a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5xx (máx.)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Estado estable</w:t>
            </w:r>
          </w:p>
        </w:tc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 ms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 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 ms</w:t>
            </w:r>
          </w:p>
        </w:tc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25%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+100 ms</w:t>
            </w:r>
          </w:p>
        </w:tc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 ms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249 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 ms</w:t>
            </w:r>
          </w:p>
        </w:tc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23%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0.00%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+400 ms</w:t>
            </w:r>
          </w:p>
        </w:tc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679 ms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981 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 ms</w:t>
            </w:r>
          </w:p>
        </w:tc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1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28%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0.06%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+1000 ms (abortada)</w:t>
            </w:r>
          </w:p>
        </w:tc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3092 ms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2953 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2401 ms</w:t>
            </w:r>
          </w:p>
        </w:tc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293</w:t>
            </w:r>
          </w:p>
        </w:tc>
        <w:tc>
          <w:tcPr>
            <w:tcW w:type="dxa" w:w="1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24%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0.10%</w:t>
            </w:r>
          </w:p>
        </w:tc>
      </w:tr>
      <w:tr>
        <w:trPr>
          <w:cantSplit/>
        </w:trPr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Recuperación</w:t>
            </w:r>
          </w:p>
        </w:tc>
        <w:tc>
          <w:tcPr>
            <w:tcW w:type="dxa" w:w="13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 ms</w:t>
            </w:r>
          </w:p>
        </w:tc>
        <w:tc>
          <w:tcPr>
            <w:tcW w:type="dxa" w:w="1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 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 ms</w:t>
            </w:r>
          </w:p>
        </w:tc>
        <w:tc>
          <w:tcPr>
            <w:tcW w:type="dxa" w:w="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22%</w:t>
            </w:r>
          </w:p>
        </w:tc>
        <w:tc>
          <w:tcPr>
            <w:tcW w:type="dxa" w:w="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0.00%</w:t>
            </w:r>
          </w:p>
        </w:tc>
      </w:tr>
    </w:tbl>
    <w:p>
      <w:pPr>
        <w:spacing w:after="120"/>
      </w:pPr>
    </w:p>
    <w:p>
      <w:pPr>
        <w:pStyle w:val="Nota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Nota.</w:t>
      </w:r>
      <w:r>
        <w:rPr>
          <w:rFonts w:ascii="Arial" w:cs="Arial" w:eastAsia="Arial" w:hAnsi="Arial"/>
          <w:sz w:val="16"/>
          <w:szCs w:val="16"/>
        </w:rPr>
        <w:t xml:space="preserve"> Prometheus, ventanas de 30 s, sin el calentamiento inicial. Las solicitudes en cola al momento del rollback alcanzaron 7–9 s. Carga real: 55.1 req/s según k6.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Figura 1</w:t>
      </w:r>
    </w:p>
    <w:p>
      <w:pPr>
        <w:pStyle w:val="FigTit"/>
      </w:pPr>
      <w:r>
        <w:rPr>
          <w:rFonts w:ascii="Arial" w:cs="Arial" w:eastAsia="Arial" w:hAnsi="Arial"/>
          <w:sz w:val="17"/>
          <w:szCs w:val="17"/>
        </w:rPr>
        <w:t xml:space="preserve">Latencia p99 por ruta y solicitudes concurrentes en service-a durante E1</w:t>
      </w:r>
    </w:p>
    <w:p>
      <w:pPr>
        <w:keepNext/>
        <w:spacing w:after="80"/>
        <w:jc w:val="center"/>
      </w:pPr>
      <w:r>
        <w:drawing>
          <wp:inline distT="0" distB="0" distL="0" distR="0">
            <wp:extent cx="48577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ta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Nota.</w:t>
      </w:r>
      <w:r>
        <w:rPr>
          <w:rFonts w:ascii="Arial" w:cs="Arial" w:eastAsia="Arial" w:hAnsi="Arial"/>
          <w:sz w:val="16"/>
          <w:szCs w:val="16"/>
        </w:rPr>
        <w:t xml:space="preserve"> Con +1000 ms, la ruta que no depende de service-b (rojo) se degrada igual que las que sí dependen, y las solicitudes concurrentes superan el límite de 40 hilos.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Figura 2</w:t>
      </w:r>
    </w:p>
    <w:p>
      <w:pPr>
        <w:pStyle w:val="FigTit"/>
      </w:pPr>
      <w:r>
        <w:rPr>
          <w:rFonts w:ascii="Arial" w:cs="Arial" w:eastAsia="Arial" w:hAnsi="Arial"/>
          <w:sz w:val="17"/>
          <w:szCs w:val="17"/>
        </w:rPr>
        <w:t xml:space="preserve">Traza de GET /api/orders durante la fase de +1000 ms (Jaeger)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16287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ta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Nota.</w:t>
      </w:r>
      <w:r>
        <w:rPr>
          <w:rFonts w:ascii="Arial" w:cs="Arial" w:eastAsia="Arial" w:hAnsi="Arial"/>
          <w:sz w:val="16"/>
          <w:szCs w:val="16"/>
        </w:rPr>
        <w:t xml:space="preserve"> 6.0 s de duración, pero su única consulta SQL tomó 3.7 ms y ocurrió al final: el resto fue espera por un hilo libre. Esta ruta no llama a service-b.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Tabla 6</w:t>
      </w:r>
    </w:p>
    <w:p>
      <w:pPr>
        <w:pStyle w:val="TablaTit"/>
      </w:pPr>
      <w:r>
        <w:rPr>
          <w:rFonts w:ascii="Arial" w:cs="Arial" w:eastAsia="Arial" w:hAnsi="Arial"/>
          <w:sz w:val="17"/>
          <w:szCs w:val="17"/>
        </w:rPr>
        <w:t xml:space="preserve">Comportamiento esperado frente a obtenido (H1)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2"/>
        <w:gridCol w:w="2041"/>
        <w:gridCol w:w="2851"/>
        <w:gridCol w:w="2206"/>
      </w:tblGrid>
      <w:tr>
        <w:trPr>
          <w:cantSplit/>
          <w:tblHeader/>
        </w:trPr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Aspecto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Esperado</w:t>
            </w:r>
          </w:p>
        </w:tc>
        <w:tc>
          <w:tcPr>
            <w:tcW w:type="dxa" w:w="2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Obtenido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Errores 5xx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errores adicionales</w:t>
            </w:r>
          </w:p>
        </w:tc>
        <w:tc>
          <w:tcPr>
            <w:tcW w:type="dxa" w:w="2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Máximo 0.10%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cumple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Rutas que dependen de B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p99 ≈ base + latencia</w:t>
            </w:r>
          </w:p>
        </w:tc>
        <w:tc>
          <w:tcPr>
            <w:tcW w:type="dxa" w:w="2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 ms (+100) y 679–981 ms (+400): amplificada, porque cada llamada cruza el enlace más de una vez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cumple, con amplificación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GET /api/orders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p99 &lt; 100 ms</w:t>
            </w:r>
          </w:p>
        </w:tc>
        <w:tc>
          <w:tcPr>
            <w:tcW w:type="dxa" w:w="2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23–45 ms hasta +400;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2.4 s con +1000 ms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 refuta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Saturación de service-a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saturación</w:t>
            </w:r>
          </w:p>
        </w:tc>
        <w:tc>
          <w:tcPr>
            <w:tcW w:type="dxa" w:w="2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293 concurrentes frente a 40 hilos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refuta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Aborto y rollback automáticos</w:t>
            </w:r>
          </w:p>
        </w:tc>
        <w:tc>
          <w:tcPr>
            <w:tcW w:type="dxa" w:w="2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Aborto a los 30 s (p99 = 7.25 s) y rollback inmediato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Funcionó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Recuperación</w:t>
            </w:r>
          </w:p>
        </w:tc>
        <w:tc>
          <w:tcPr>
            <w:tcW w:type="dxa" w:w="20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Vuelta al estado estable</w:t>
            </w:r>
          </w:p>
        </w:tc>
        <w:tc>
          <w:tcPr>
            <w:tcW w:type="dxa" w:w="28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Cola vacía en &lt; 10 s; p99 normal a los ~40 s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cumple</w:t>
            </w:r>
          </w:p>
        </w:tc>
      </w:tr>
    </w:tbl>
    <w:p>
      <w:pPr>
        <w:spacing w:after="120"/>
      </w:pPr>
    </w:p>
    <w:p>
      <w:r>
        <w:t xml:space="preserve">H1 </w:t>
      </w:r>
      <w:r>
        <w:rPr>
          <w:b/>
          <w:bCs/>
        </w:rPr>
        <w:t xml:space="preserve">se sostiene hasta +400 ms y se refuta con +1000 ms</w:t>
      </w:r>
      <w:r>
        <w:t xml:space="preserve">. La ley de Little lo explica (Little, 1961):
las solicitudes concurrentes equivalen al flujo de llamadas por su duración. Con unas 45 llamadas/s a
service-b, +400 ms deja 45 × 0.4 ≈ 18–25 en curso (se midieron 25), dentro de los 40 hilos. Con
+1000 ms se necesitan ≈ 45, el límite se supera y la cola crece sin control.</w:t>
      </w:r>
    </w:p>
    <w:p>
      <w:pPr>
        <w:pStyle w:val="Heading1"/>
      </w:pPr>
      <w:r>
        <w:t xml:space="preserve">6. Reflexión: debilidad sistémica y remediación</w:t>
      </w:r>
    </w:p>
    <w:p>
      <w:r>
        <w:t xml:space="preserve">El experimento reveló una </w:t>
      </w:r>
      <w:r>
        <w:rPr>
          <w:b/>
          <w:bCs/>
        </w:rPr>
        <w:t xml:space="preserve">falta de aislamiento (</w:t>
      </w:r>
      <w:r>
        <w:rPr>
          <w:b/>
          <w:bCs/>
          <w:i/>
          <w:iCs/>
        </w:rPr>
        <w:t xml:space="preserve">bulkhead</w:t>
      </w:r>
      <w:r>
        <w:rPr>
          <w:b/>
          <w:bCs/>
        </w:rPr>
        <w:t xml:space="preserve">) entre dependencias</w:t>
      </w:r>
      <w:r>
        <w:t xml:space="preserve">. Todos los
endpoints síncronos de service-a comparten un grupo de 40 hilos. Cuando service-b se vuelve lento, sus
llamadas retienen los hilos y las rutas sin relación con service-b esperan en la misma cola: una
degradación parcial se vuelve una falla en cascada (Nygard, 2018). El timeout de 5 s hacia service-b
no protege, porque es diez veces el objetivo de latencia.</w:t>
      </w:r>
    </w:p>
    <w:p>
      <w:r>
        <w:t xml:space="preserve">El experimento también expuso dos puntos ciegos de observabilidad: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 errores no pasaron de 0.10%</w:t>
      </w:r>
      <w:r>
        <w:t xml:space="preserve">, así que una alerta por tasa de errores no se habría disparado.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CPU se mantuvo en ~24%</w:t>
      </w:r>
      <w:r>
        <w:t xml:space="preserve">, así que un autoescalado por CPU tampoco habría reaccionado.</w:t>
      </w:r>
    </w:p>
    <w:p>
      <w:r>
        <w:t xml:space="preserve">La única señal que anticipó el colapso fue la </w:t>
      </w:r>
      <w:r>
        <w:rPr>
          <w:b/>
          <w:bCs/>
        </w:rPr>
        <w:t xml:space="preserve">saturación</w:t>
      </w:r>
      <w:r>
        <w:t xml:space="preserve">: las solicitudes concurrentes pasaron de
25 a 293 en menos de un minuto.</w:t>
      </w:r>
    </w:p>
    <w:p>
      <w:pPr>
        <w:pStyle w:val="TablaNum"/>
      </w:pPr>
      <w:r>
        <w:rPr>
          <w:rFonts w:ascii="Arial" w:cs="Arial" w:eastAsia="Arial" w:hAnsi="Arial"/>
          <w:sz w:val="17"/>
          <w:szCs w:val="17"/>
        </w:rPr>
        <w:t xml:space="preserve">Tabla 7</w:t>
      </w:r>
    </w:p>
    <w:p>
      <w:pPr>
        <w:pStyle w:val="TablaTit"/>
      </w:pPr>
      <w:r>
        <w:rPr>
          <w:rFonts w:ascii="Arial" w:cs="Arial" w:eastAsia="Arial" w:hAnsi="Arial"/>
          <w:sz w:val="17"/>
          <w:szCs w:val="17"/>
        </w:rPr>
        <w:t xml:space="preserve">Remediaciones propuestas y métrica de éxito al repetir E1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9"/>
        <w:gridCol w:w="4376"/>
        <w:gridCol w:w="2805"/>
      </w:tblGrid>
      <w:tr>
        <w:trPr>
          <w:cantSplit/>
          <w:tblHeader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Remediación</w:t>
            </w:r>
          </w:p>
        </w:tc>
        <w:tc>
          <w:tcPr>
            <w:tcW w:type="dxa" w:w="4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Cómo</w:t>
            </w:r>
          </w:p>
        </w:tc>
        <w:tc>
          <w:tcPr>
            <w:tcW w:type="dxa" w:w="2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2545"/>
                <w:sz w:val="16"/>
                <w:szCs w:val="16"/>
              </w:rPr>
              <w:t xml:space="preserve">Métrica de éxito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Presupuesto de tiempo</w:t>
            </w:r>
          </w:p>
        </w:tc>
        <w:tc>
          <w:tcPr>
            <w:tcW w:type="dxa" w:w="4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Timeout hacia service-b de 5 s a 800 ms, sin reintentos</w:t>
            </w:r>
          </w:p>
        </w:tc>
        <w:tc>
          <w:tcPr>
            <w:tcW w:type="dxa" w:w="2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p99 de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POST /api/orders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≤ 1 s con +1000 ms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Circuit breaker</w:t>
            </w:r>
          </w:p>
        </w:tc>
        <w:tc>
          <w:tcPr>
            <w:tcW w:type="dxa" w:w="4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Abrir el circuito ante latencia o errores altos hacia service-b</w:t>
            </w:r>
          </w:p>
        </w:tc>
        <w:tc>
          <w:tcPr>
            <w:tcW w:type="dxa" w:w="2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Concurrentes &lt; 40 durante la inyección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Aislamiento (</w:t>
            </w: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bulkhead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  <w:tc>
          <w:tcPr>
            <w:tcW w:type="dxa" w:w="4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Semáforo de 20 llamadas simultáneas a service-b, o endpoints asíncronos con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httpx.AsyncClient</w:t>
            </w:r>
          </w:p>
        </w:tc>
        <w:tc>
          <w:tcPr>
            <w:tcW w:type="dxa" w:w="2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p99 de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GET /api/orders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&lt; 100 ms en todas las fases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Descarte de carga</w:t>
            </w:r>
          </w:p>
        </w:tc>
        <w:tc>
          <w:tcPr>
            <w:tcW w:type="dxa" w:w="4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uvicorn --limit-concurrency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responder 503 en lugar de encolar</w:t>
            </w:r>
          </w:p>
        </w:tc>
        <w:tc>
          <w:tcPr>
            <w:tcW w:type="dxa" w:w="2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Latencia de cola &lt; 1 s</w:t>
            </w:r>
          </w:p>
        </w:tc>
      </w:tr>
      <w:tr>
        <w:trPr>
          <w:cantSplit/>
        </w:trPr>
        <w:tc>
          <w:tcPr>
            <w:tcW w:type="dxa" w:w="1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Alertas de saturación</w:t>
            </w:r>
          </w:p>
        </w:tc>
        <w:tc>
          <w:tcPr>
            <w:tcW w:type="dxa" w:w="4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Alertar sobre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http_server_active_requests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&gt; 30 y el p99 por ruta</w:t>
            </w:r>
          </w:p>
        </w:tc>
        <w:tc>
          <w:tcPr>
            <w:tcW w:type="dxa" w:w="2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Alerta en &lt; 30 s en la fase de +1000 ms</w:t>
            </w:r>
          </w:p>
        </w:tc>
      </w:tr>
    </w:tbl>
    <w:p>
      <w:pPr>
        <w:spacing w:after="120"/>
      </w:pPr>
    </w:p>
    <w:p>
      <w:r>
        <w:t xml:space="preserve">Desde la antifragilidad (Taleb, 2012), el valor del Game Day es convertir la falla en aprendizaje: la
debilidad apareció en un entorno controlado, con aborto y rollback probados, y no en un incidente real.
El ciclo se cierra repitiendo E1 después de cada remediación como prueba de regresión, y avanzando
luego a E2 y E3 (Rosenthal &amp; Jones, 2020).</w:t>
      </w:r>
    </w:p>
    <w:p>
      <w:pPr>
        <w:pStyle w:val="Heading1"/>
      </w:pPr>
      <w:r>
        <w:t xml:space="preserve">Referencias</w:t>
      </w:r>
    </w:p>
    <w:p>
      <w:pPr>
        <w:pStyle w:val="Referencia"/>
      </w:pPr>
      <w:r>
        <w:t xml:space="preserve">Basiri, A., Behnam, N., de Rooij, R., Hochstein, L., Kosewski, L., Reynolds, J., &amp; Rosenthal, C. (2016). Chaos engineering. </w:t>
      </w:r>
      <w:r>
        <w:rPr>
          <w:i/>
          <w:iCs/>
        </w:rPr>
        <w:t xml:space="preserve">IEEE Software, 33</w:t>
      </w:r>
      <w:r>
        <w:t xml:space="preserve">(3), 35–41. </w:t>
      </w:r>
      <w:r>
        <w:t xml:space="preserve">https://doi.org/10.1109/MS.2016.60</w:t>
      </w:r>
    </w:p>
    <w:p>
      <w:pPr>
        <w:pStyle w:val="Referencia"/>
      </w:pPr>
      <w:r>
        <w:t xml:space="preserve">Gremlin. (s. f.). </w:t>
      </w:r>
      <w:r>
        <w:rPr>
          <w:i/>
          <w:iCs/>
        </w:rPr>
        <w:t xml:space="preserve">Gremlin documentation: Attacks</w:t>
      </w:r>
      <w:r>
        <w:t xml:space="preserve">. </w:t>
      </w:r>
      <w:r>
        <w:t xml:space="preserve">https://www.gremlin.com/docs</w:t>
      </w:r>
    </w:p>
    <w:p>
      <w:pPr>
        <w:pStyle w:val="Referencia"/>
      </w:pPr>
      <w:r>
        <w:t xml:space="preserve">LitmusChaos. (s. f.). </w:t>
      </w:r>
      <w:r>
        <w:rPr>
          <w:i/>
          <w:iCs/>
        </w:rPr>
        <w:t xml:space="preserve">Litmus documentation</w:t>
      </w:r>
      <w:r>
        <w:t xml:space="preserve">. </w:t>
      </w:r>
      <w:r>
        <w:t xml:space="preserve">https://docs.litmuschaos.io/</w:t>
      </w:r>
    </w:p>
    <w:p>
      <w:pPr>
        <w:pStyle w:val="Referencia"/>
      </w:pPr>
      <w:r>
        <w:t xml:space="preserve">Little, J. D. C. (1961). A proof for the queuing formula: L = λW. </w:t>
      </w:r>
      <w:r>
        <w:rPr>
          <w:i/>
          <w:iCs/>
        </w:rPr>
        <w:t xml:space="preserve">Operations Research, 9</w:t>
      </w:r>
      <w:r>
        <w:t xml:space="preserve">(3), 383–387. </w:t>
      </w:r>
      <w:r>
        <w:t xml:space="preserve">https://doi.org/10.1287/opre.9.3.383</w:t>
      </w:r>
    </w:p>
    <w:p>
      <w:pPr>
        <w:pStyle w:val="Referencia"/>
      </w:pPr>
      <w:r>
        <w:t xml:space="preserve">Nygard, M. T. (2018). </w:t>
      </w:r>
      <w:r>
        <w:rPr>
          <w:i/>
          <w:iCs/>
        </w:rPr>
        <w:t xml:space="preserve">Release it! Design and deploy production-ready software</w:t>
      </w:r>
      <w:r>
        <w:t xml:space="preserve"> (2.ª ed.). Pragmatic Bookshelf.</w:t>
      </w:r>
    </w:p>
    <w:p>
      <w:pPr>
        <w:pStyle w:val="Referencia"/>
      </w:pPr>
      <w:r>
        <w:t xml:space="preserve">Principles of Chaos Engineering. (s. f.). </w:t>
      </w:r>
      <w:r>
        <w:rPr>
          <w:i/>
          <w:iCs/>
        </w:rPr>
        <w:t xml:space="preserve">Principles of chaos engineering</w:t>
      </w:r>
      <w:r>
        <w:t xml:space="preserve">. </w:t>
      </w:r>
      <w:r>
        <w:t xml:space="preserve">https://principlesofchaos.org/</w:t>
      </w:r>
    </w:p>
    <w:p>
      <w:pPr>
        <w:pStyle w:val="Referencia"/>
      </w:pPr>
      <w:r>
        <w:t xml:space="preserve">Rosenthal, C., &amp; Jones, N. (2020). </w:t>
      </w:r>
      <w:r>
        <w:rPr>
          <w:i/>
          <w:iCs/>
        </w:rPr>
        <w:t xml:space="preserve">Chaos engineering: System resiliency in practice</w:t>
      </w:r>
      <w:r>
        <w:t xml:space="preserve">. O'Reilly Media.</w:t>
      </w:r>
    </w:p>
    <w:p>
      <w:pPr>
        <w:pStyle w:val="Referencia"/>
      </w:pPr>
      <w:r>
        <w:t xml:space="preserve">Taleb, N. N. (2012). </w:t>
      </w:r>
      <w:r>
        <w:rPr>
          <w:i/>
          <w:iCs/>
        </w:rPr>
        <w:t xml:space="preserve">Antifragile: Things that gain from disorder</w:t>
      </w:r>
      <w:r>
        <w:t xml:space="preserve">. Random House.</w:t>
      </w:r>
    </w:p>
    <w:sectPr>
      <w:pgSz w:w="11906" w:h="16838" w:orient="portrait"/>
      <w:pgMar w:top="1418" w:right="1418" w:bottom="1247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00"/>
      <w:outlineLvl w:val="0"/>
    </w:pPr>
    <w:rPr>
      <w:rFonts w:ascii="Aptos" w:cs="Aptos" w:eastAsia="Aptos" w:hAnsi="Aptos"/>
      <w:color w:val="0F476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color w:val="0F4761"/>
      <w:sz w:val="26"/>
      <w:szCs w:val="26"/>
    </w:rPr>
  </w:style>
  <w:style w:type="paragraph" w:styleId="TablaNum">
    <w:name w:val="Tabla número"/>
    <w:basedOn w:val="Normal"/>
    <w:pPr>
      <w:keepNext/>
      <w:spacing w:after="40" w:before="240"/>
    </w:pPr>
    <w:rPr>
      <w:rFonts w:ascii="Arial" w:cs="Arial" w:eastAsia="Arial" w:hAnsi="Arial"/>
      <w:b/>
      <w:bCs/>
      <w:sz w:val="17"/>
      <w:szCs w:val="17"/>
    </w:rPr>
  </w:style>
  <w:style w:type="paragraph" w:styleId="TablaTit">
    <w:name w:val="Tabla título"/>
    <w:basedOn w:val="Normal"/>
    <w:pPr>
      <w:keepNext/>
      <w:spacing w:after="80"/>
    </w:pPr>
    <w:rPr>
      <w:rFonts w:ascii="Arial" w:cs="Arial" w:eastAsia="Arial" w:hAnsi="Arial"/>
      <w:sz w:val="17"/>
      <w:szCs w:val="17"/>
    </w:rPr>
  </w:style>
  <w:style w:type="paragraph" w:styleId="FigTit">
    <w:name w:val="Figura título"/>
    <w:basedOn w:val="Normal"/>
    <w:pPr>
      <w:keepNext/>
      <w:spacing w:after="120"/>
    </w:pPr>
    <w:rPr>
      <w:rFonts w:ascii="Arial" w:cs="Arial" w:eastAsia="Arial" w:hAnsi="Arial"/>
      <w:i/>
      <w:iCs/>
      <w:sz w:val="17"/>
      <w:szCs w:val="17"/>
    </w:rPr>
  </w:style>
  <w:style w:type="paragraph" w:styleId="Nota">
    <w:name w:val="Nota"/>
    <w:basedOn w:val="Normal"/>
    <w:pPr>
      <w:spacing w:after="240" w:before="60"/>
    </w:pPr>
    <w:rPr>
      <w:rFonts w:ascii="Arial" w:cs="Arial" w:eastAsia="Arial" w:hAnsi="Arial"/>
      <w:color w:val="333333"/>
      <w:sz w:val="16"/>
      <w:szCs w:val="16"/>
    </w:rPr>
  </w:style>
  <w:style w:type="paragraph" w:styleId="Referencia">
    <w:name w:val="Referencia"/>
    <w:basedOn w:val="Normal"/>
    <w:pPr>
      <w:spacing w:after="140"/>
    </w:pPr>
    <w:rPr>
      <w:sz w:val="21"/>
      <w:szCs w:val="21"/>
    </w:rPr>
  </w:style>
  <w:style w:type="paragraph" w:styleId="Codigo">
    <w:name w:val="Código"/>
    <w:basedOn w:val="Normal"/>
    <w:pPr>
      <w:shd w:fill="F2F4F7" w:color="auto" w:val="clear"/>
    </w:pPr>
    <w:rPr>
      <w:rFonts w:ascii="Courier New" w:cs="Courier New" w:eastAsia="Courier New" w:hAnsi="Courier New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f13a44e2e42abea9769526660b97f7250301853.png"/><Relationship Id="rId8" Type="http://schemas.openxmlformats.org/officeDocument/2006/relationships/image" Target="media/80082c674d37577b2be6a9f8f99a9c993f059f5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Game Day: Chaos Engineering sobre el pipeline OpenTelemetry</dc:title>
  <dc:creator>David Aníbal Vásquez, Sergio Andrés Cobos, Sebastián Bedoya Flórez</dc:creator>
  <cp:lastModifiedBy>Un-named</cp:lastModifiedBy>
  <cp:revision>1</cp:revision>
  <dcterms:created xsi:type="dcterms:W3CDTF">2026-10-16T03:57:08.168Z</dcterms:created>
  <dcterms:modified xsi:type="dcterms:W3CDTF">2026-10-16T03:57:08.174Z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