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816CF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4C6FC1FD" w14:textId="77777777" w:rsidR="008B4E2E" w:rsidRPr="002A4F38" w:rsidRDefault="008B4E2E" w:rsidP="002A4F38">
      <w:pPr>
        <w:numPr>
          <w:ilvl w:val="0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Contexto</w:t>
      </w:r>
      <w:r w:rsidRPr="002A4F38">
        <w:rPr>
          <w:rFonts w:ascii="Cambria" w:hAnsi="Cambria"/>
        </w:rPr>
        <w:t>: La financiación es clave para la competitividad. No basta con calidad/precio; es necesario ofrecer condiciones financieras atractivas.</w:t>
      </w:r>
    </w:p>
    <w:p w14:paraId="7671E8FD" w14:textId="77777777" w:rsidR="008B4E2E" w:rsidRPr="002A4F38" w:rsidRDefault="008B4E2E" w:rsidP="002A4F38">
      <w:pPr>
        <w:numPr>
          <w:ilvl w:val="0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Importancia para el exportador</w:t>
      </w:r>
      <w:r w:rsidRPr="002A4F38">
        <w:rPr>
          <w:rFonts w:ascii="Cambria" w:hAnsi="Cambria"/>
        </w:rPr>
        <w:t>:</w:t>
      </w:r>
    </w:p>
    <w:p w14:paraId="0B042933" w14:textId="77777777" w:rsidR="008B4E2E" w:rsidRPr="002A4F38" w:rsidRDefault="008B4E2E" w:rsidP="002A4F38">
      <w:pPr>
        <w:numPr>
          <w:ilvl w:val="1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Seguridad de cobro.</w:t>
      </w:r>
    </w:p>
    <w:p w14:paraId="39AD4399" w14:textId="77777777" w:rsidR="008B4E2E" w:rsidRPr="002A4F38" w:rsidRDefault="008B4E2E" w:rsidP="002A4F38">
      <w:pPr>
        <w:numPr>
          <w:ilvl w:val="1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Aumento de competitividad (facilidades de pago).</w:t>
      </w:r>
    </w:p>
    <w:p w14:paraId="470715A8" w14:textId="77777777" w:rsidR="008B4E2E" w:rsidRPr="002A4F38" w:rsidRDefault="008B4E2E" w:rsidP="002A4F38">
      <w:pPr>
        <w:numPr>
          <w:ilvl w:val="0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Papel del Estado</w:t>
      </w:r>
      <w:r w:rsidRPr="002A4F38">
        <w:rPr>
          <w:rFonts w:ascii="Cambria" w:hAnsi="Cambria"/>
        </w:rPr>
        <w:t>: Justificado por la existencia de apoyos en países competidores, cobertura de riesgos/plazos no atendidos por el mercado e incentivo al sector privado.</w:t>
      </w:r>
    </w:p>
    <w:p w14:paraId="75D69609" w14:textId="77777777" w:rsidR="008B4E2E" w:rsidRPr="002A4F38" w:rsidRDefault="008B4E2E" w:rsidP="002A4F38">
      <w:pPr>
        <w:numPr>
          <w:ilvl w:val="0"/>
          <w:numId w:val="1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Principales instrumentos en España</w:t>
      </w:r>
      <w:r w:rsidRPr="002A4F38">
        <w:rPr>
          <w:rFonts w:ascii="Cambria" w:hAnsi="Cambria"/>
        </w:rPr>
        <w:t>: CARI, FIEM y Seguro de Crédito a la Exportación (CESCE), bajo el marco del Consenso OCDE.</w:t>
      </w:r>
    </w:p>
    <w:p w14:paraId="4446C677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2. El Crédito Oficial a la Exportación</w:t>
      </w:r>
    </w:p>
    <w:p w14:paraId="6A388BFC" w14:textId="77777777" w:rsidR="008B4E2E" w:rsidRPr="002A4F38" w:rsidRDefault="008B4E2E" w:rsidP="002A4F38">
      <w:pPr>
        <w:numPr>
          <w:ilvl w:val="0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Definición</w:t>
      </w:r>
      <w:r w:rsidRPr="002A4F38">
        <w:rPr>
          <w:rFonts w:ascii="Cambria" w:hAnsi="Cambria"/>
        </w:rPr>
        <w:t>: Financiación total o parcial de contratos de exportación de bienes de equipo y servicios españoles con apoyo público.</w:t>
      </w:r>
    </w:p>
    <w:p w14:paraId="165F2AB3" w14:textId="77777777" w:rsidR="008B4E2E" w:rsidRPr="002A4F38" w:rsidRDefault="008B4E2E" w:rsidP="002A4F38">
      <w:pPr>
        <w:numPr>
          <w:ilvl w:val="0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Características del apoyo oficial</w:t>
      </w:r>
      <w:r w:rsidRPr="002A4F38">
        <w:rPr>
          <w:rFonts w:ascii="Cambria" w:hAnsi="Cambria"/>
        </w:rPr>
        <w:t>:</w:t>
      </w:r>
    </w:p>
    <w:p w14:paraId="5BF5DAEF" w14:textId="77777777" w:rsidR="008B4E2E" w:rsidRPr="002A4F38" w:rsidRDefault="008B4E2E" w:rsidP="002A4F38">
      <w:pPr>
        <w:numPr>
          <w:ilvl w:val="1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Subvención al tipo de interés.</w:t>
      </w:r>
    </w:p>
    <w:p w14:paraId="01DCEEBA" w14:textId="77777777" w:rsidR="008B4E2E" w:rsidRPr="002A4F38" w:rsidRDefault="008B4E2E" w:rsidP="002A4F38">
      <w:pPr>
        <w:numPr>
          <w:ilvl w:val="1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Tipo de interés fijo durante toda la vida del crédito.</w:t>
      </w:r>
    </w:p>
    <w:p w14:paraId="13BEF844" w14:textId="77777777" w:rsidR="008B4E2E" w:rsidRPr="002A4F38" w:rsidRDefault="008B4E2E" w:rsidP="002A4F38">
      <w:pPr>
        <w:numPr>
          <w:ilvl w:val="1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Plazos de amortización largos.</w:t>
      </w:r>
    </w:p>
    <w:p w14:paraId="20470001" w14:textId="77777777" w:rsidR="008B4E2E" w:rsidRPr="002A4F38" w:rsidRDefault="008B4E2E" w:rsidP="002A4F38">
      <w:pPr>
        <w:numPr>
          <w:ilvl w:val="1"/>
          <w:numId w:val="2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Aseguramiento por el Estado de riesgos políticos.</w:t>
      </w:r>
    </w:p>
    <w:p w14:paraId="5ED7F2CA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3. El Crédito Suministrador</w:t>
      </w:r>
    </w:p>
    <w:p w14:paraId="1D8A13B7" w14:textId="77777777" w:rsidR="008B4E2E" w:rsidRPr="002A4F38" w:rsidRDefault="008B4E2E" w:rsidP="002A4F38">
      <w:pPr>
        <w:numPr>
          <w:ilvl w:val="0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Concepto</w:t>
      </w:r>
      <w:r w:rsidRPr="002A4F38">
        <w:rPr>
          <w:rFonts w:ascii="Cambria" w:hAnsi="Cambria"/>
        </w:rPr>
        <w:t>: La Entidad Financiera financia a la empresa española exportadora.</w:t>
      </w:r>
    </w:p>
    <w:p w14:paraId="55230F46" w14:textId="77777777" w:rsidR="008B4E2E" w:rsidRPr="002A4F38" w:rsidRDefault="008B4E2E" w:rsidP="002A4F38">
      <w:pPr>
        <w:numPr>
          <w:ilvl w:val="0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Mecanismo</w:t>
      </w:r>
      <w:r w:rsidRPr="002A4F38">
        <w:rPr>
          <w:rFonts w:ascii="Cambria" w:hAnsi="Cambria"/>
        </w:rPr>
        <w:t>:</w:t>
      </w:r>
    </w:p>
    <w:p w14:paraId="3D0DC852" w14:textId="77777777" w:rsidR="008B4E2E" w:rsidRPr="002A4F38" w:rsidRDefault="008B4E2E" w:rsidP="002A4F38">
      <w:pPr>
        <w:numPr>
          <w:ilvl w:val="1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El Exportador concede aplazamiento de pago al Importador (asumiendo riesgo).</w:t>
      </w:r>
    </w:p>
    <w:p w14:paraId="54CACE1A" w14:textId="77777777" w:rsidR="008B4E2E" w:rsidRPr="002A4F38" w:rsidRDefault="008B4E2E" w:rsidP="002A4F38">
      <w:pPr>
        <w:numPr>
          <w:ilvl w:val="1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El Exportador descuenta los documentos de cobro (letras/pagarés) en el Banco.</w:t>
      </w:r>
    </w:p>
    <w:p w14:paraId="03518CE5" w14:textId="77777777" w:rsidR="008B4E2E" w:rsidRPr="002A4F38" w:rsidRDefault="008B4E2E" w:rsidP="002A4F38">
      <w:pPr>
        <w:numPr>
          <w:ilvl w:val="1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El Banco suele exigir seguro de CESCE (cobertura 99% riesgos políticos y comerciales).</w:t>
      </w:r>
    </w:p>
    <w:p w14:paraId="6A96F1AC" w14:textId="77777777" w:rsidR="008B4E2E" w:rsidRPr="002A4F38" w:rsidRDefault="008B4E2E" w:rsidP="002A4F38">
      <w:pPr>
        <w:numPr>
          <w:ilvl w:val="1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lastRenderedPageBreak/>
        <w:t>Importador paga anticipo del 15% (norma OCDE) y el Banco abona el 85% restante al Exportador.</w:t>
      </w:r>
    </w:p>
    <w:p w14:paraId="3BC25470" w14:textId="77777777" w:rsidR="008B4E2E" w:rsidRPr="002A4F38" w:rsidRDefault="008B4E2E" w:rsidP="002A4F38">
      <w:pPr>
        <w:numPr>
          <w:ilvl w:val="0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Contratos</w:t>
      </w:r>
      <w:r w:rsidRPr="002A4F38">
        <w:rPr>
          <w:rFonts w:ascii="Cambria" w:hAnsi="Cambria"/>
        </w:rPr>
        <w:t>: Requiere un contrato comercial (Exportador-Importador) y un convenio de crédito (Exportador-Banco).</w:t>
      </w:r>
    </w:p>
    <w:p w14:paraId="292E2E52" w14:textId="77777777" w:rsidR="008B4E2E" w:rsidRPr="002A4F38" w:rsidRDefault="008B4E2E" w:rsidP="002A4F38">
      <w:pPr>
        <w:numPr>
          <w:ilvl w:val="0"/>
          <w:numId w:val="3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Ventajas</w:t>
      </w:r>
      <w:r w:rsidRPr="002A4F38">
        <w:rPr>
          <w:rFonts w:ascii="Cambria" w:hAnsi="Cambria"/>
        </w:rPr>
        <w:t>: Cobro al contado de ventas a plazo y eliminación de riesgos (salvo disputas comerciales).</w:t>
      </w:r>
    </w:p>
    <w:p w14:paraId="6BB3CD43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4. El Crédito Comprador</w:t>
      </w:r>
    </w:p>
    <w:p w14:paraId="6BD67C7F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Concepto</w:t>
      </w:r>
      <w:r w:rsidRPr="002A4F38">
        <w:rPr>
          <w:rFonts w:ascii="Cambria" w:hAnsi="Cambria"/>
        </w:rPr>
        <w:t>: La Entidad Financiera concede el crédito directamente al Importador extranjero (Prestatario) para pagar al Exportador. Es la modalidad preferida actualmente.</w:t>
      </w:r>
    </w:p>
    <w:p w14:paraId="1E730967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Tipos</w:t>
      </w:r>
      <w:r w:rsidRPr="002A4F38">
        <w:rPr>
          <w:rFonts w:ascii="Cambria" w:hAnsi="Cambria"/>
        </w:rPr>
        <w:t>:</w:t>
      </w:r>
    </w:p>
    <w:p w14:paraId="3E3C723C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Con apoyo oficial:</w:t>
      </w:r>
      <w:r w:rsidRPr="002A4F38">
        <w:rPr>
          <w:rFonts w:ascii="Cambria" w:hAnsi="Cambria"/>
        </w:rPr>
        <w:t xml:space="preserve"> Cumple requisitos Consenso OCDE (bienes de equipo, plantas llave en mano).</w:t>
      </w:r>
    </w:p>
    <w:p w14:paraId="2FF73C05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Sin apoyo oficial:</w:t>
      </w:r>
      <w:r w:rsidRPr="002A4F38">
        <w:rPr>
          <w:rFonts w:ascii="Cambria" w:hAnsi="Cambria"/>
        </w:rPr>
        <w:t xml:space="preserve"> Tipos de mercado (bienes de consumo).</w:t>
      </w:r>
    </w:p>
    <w:p w14:paraId="3AC64596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Funcionamiento</w:t>
      </w:r>
      <w:r w:rsidRPr="002A4F38">
        <w:rPr>
          <w:rFonts w:ascii="Cambria" w:hAnsi="Cambria"/>
        </w:rPr>
        <w:t>:</w:t>
      </w:r>
    </w:p>
    <w:p w14:paraId="6368670D" w14:textId="77777777" w:rsidR="008B4E2E" w:rsidRPr="002A4F38" w:rsidRDefault="008B4E2E" w:rsidP="002A4F38">
      <w:pPr>
        <w:numPr>
          <w:ilvl w:val="1"/>
          <w:numId w:val="5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Firma de contrato comercial. Análisis de riesgo por Banco y CESCE.</w:t>
      </w:r>
    </w:p>
    <w:p w14:paraId="37465C94" w14:textId="77777777" w:rsidR="008B4E2E" w:rsidRPr="002A4F38" w:rsidRDefault="008B4E2E" w:rsidP="002A4F38">
      <w:pPr>
        <w:numPr>
          <w:ilvl w:val="1"/>
          <w:numId w:val="5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Importador paga 15% al contado (fondos propios).</w:t>
      </w:r>
    </w:p>
    <w:p w14:paraId="215A6119" w14:textId="77777777" w:rsidR="008B4E2E" w:rsidRPr="002A4F38" w:rsidRDefault="008B4E2E" w:rsidP="002A4F38">
      <w:pPr>
        <w:numPr>
          <w:ilvl w:val="1"/>
          <w:numId w:val="5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Banco paga al Exportador el 85% restante a medida que cumple hitos de entrega.</w:t>
      </w:r>
    </w:p>
    <w:p w14:paraId="234BD2ED" w14:textId="77777777" w:rsidR="008B4E2E" w:rsidRPr="002A4F38" w:rsidRDefault="008B4E2E" w:rsidP="002A4F38">
      <w:pPr>
        <w:numPr>
          <w:ilvl w:val="1"/>
          <w:numId w:val="5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Importador devuelve el préstamo al Banco.</w:t>
      </w:r>
    </w:p>
    <w:p w14:paraId="2EE79595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Modalidades</w:t>
      </w:r>
      <w:r w:rsidRPr="002A4F38">
        <w:rPr>
          <w:rFonts w:ascii="Cambria" w:hAnsi="Cambria"/>
        </w:rPr>
        <w:t>:</w:t>
      </w:r>
    </w:p>
    <w:p w14:paraId="0562338C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Crédito Individual:</w:t>
      </w:r>
      <w:r w:rsidRPr="002A4F38">
        <w:rPr>
          <w:rFonts w:ascii="Cambria" w:hAnsi="Cambria"/>
        </w:rPr>
        <w:t xml:space="preserve"> Operación a operación. Para contratos de cierta cuantía.</w:t>
      </w:r>
    </w:p>
    <w:p w14:paraId="2360411A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Línea de Crédito</w:t>
      </w:r>
      <w:r w:rsidRPr="002A4F38">
        <w:rPr>
          <w:rFonts w:ascii="Cambria" w:hAnsi="Cambria"/>
        </w:rPr>
        <w:t>: Importe global concedido a un Banco local (Prestatario) para financiar múltiples contratos de diversos exportadores. Mayor agilidad.</w:t>
      </w:r>
    </w:p>
    <w:p w14:paraId="3EAE419C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Agentes intervinientes</w:t>
      </w:r>
      <w:r w:rsidRPr="002A4F38">
        <w:rPr>
          <w:rFonts w:ascii="Cambria" w:hAnsi="Cambria"/>
        </w:rPr>
        <w:t>:</w:t>
      </w:r>
    </w:p>
    <w:p w14:paraId="3E17DC3B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En España</w:t>
      </w:r>
      <w:r w:rsidRPr="002A4F38">
        <w:rPr>
          <w:rFonts w:ascii="Cambria" w:hAnsi="Cambria"/>
        </w:rPr>
        <w:t>: Exportador, Banco Financiador, ICO (subvenciona tasa), Dirección General de Comercio (autoriza), CESCE (asegura).</w:t>
      </w:r>
    </w:p>
    <w:p w14:paraId="3468A61D" w14:textId="77777777" w:rsidR="008B4E2E" w:rsidRPr="002A4F38" w:rsidRDefault="008B4E2E" w:rsidP="002A4F38">
      <w:pPr>
        <w:numPr>
          <w:ilvl w:val="1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En el extranjero</w:t>
      </w:r>
      <w:r w:rsidRPr="002A4F38">
        <w:rPr>
          <w:rFonts w:ascii="Cambria" w:hAnsi="Cambria"/>
        </w:rPr>
        <w:t>: Comprador, Prestatario (puede ser el comprador o su banco) y Garante.</w:t>
      </w:r>
    </w:p>
    <w:p w14:paraId="2DB988D8" w14:textId="77777777" w:rsidR="008B4E2E" w:rsidRPr="002A4F38" w:rsidRDefault="008B4E2E" w:rsidP="002A4F38">
      <w:pPr>
        <w:numPr>
          <w:ilvl w:val="0"/>
          <w:numId w:val="4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lastRenderedPageBreak/>
        <w:t>Ventajas</w:t>
      </w:r>
      <w:r w:rsidRPr="002A4F38">
        <w:rPr>
          <w:rFonts w:ascii="Cambria" w:hAnsi="Cambria"/>
        </w:rPr>
        <w:t>: Cobro al contado sin endeudamiento para el exportador, financiación competitiva para el cliente, separación de contratos (sin recurso al exportador).</w:t>
      </w:r>
    </w:p>
    <w:p w14:paraId="41C385EF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5. El Consenso OCDE</w:t>
      </w:r>
    </w:p>
    <w:p w14:paraId="04F5F5E6" w14:textId="77777777" w:rsidR="008B4E2E" w:rsidRPr="002A4F38" w:rsidRDefault="008B4E2E" w:rsidP="002A4F38">
      <w:pPr>
        <w:numPr>
          <w:ilvl w:val="0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Definición</w:t>
      </w:r>
      <w:r w:rsidRPr="002A4F38">
        <w:rPr>
          <w:rFonts w:ascii="Cambria" w:hAnsi="Cambria"/>
        </w:rPr>
        <w:t>: "Acuerdo General sobre Líneas Directrices en materia de Crédito a la Exportación con Apoyo Oficial" (1976). Rango de ley en la UE.</w:t>
      </w:r>
    </w:p>
    <w:p w14:paraId="6AE72463" w14:textId="77777777" w:rsidR="008B4E2E" w:rsidRPr="002A4F38" w:rsidRDefault="008B4E2E" w:rsidP="002A4F38">
      <w:pPr>
        <w:numPr>
          <w:ilvl w:val="0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Objetivo</w:t>
      </w:r>
      <w:r w:rsidRPr="002A4F38">
        <w:rPr>
          <w:rFonts w:ascii="Cambria" w:hAnsi="Cambria"/>
        </w:rPr>
        <w:t>: Evitar competencia desleal y condiciones financieras insostenibles entre países.</w:t>
      </w:r>
    </w:p>
    <w:p w14:paraId="406BCDC5" w14:textId="77777777" w:rsidR="008B4E2E" w:rsidRPr="002A4F38" w:rsidRDefault="008B4E2E" w:rsidP="002A4F38">
      <w:pPr>
        <w:numPr>
          <w:ilvl w:val="0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Ámbito</w:t>
      </w:r>
      <w:r w:rsidRPr="002A4F38">
        <w:rPr>
          <w:rFonts w:ascii="Cambria" w:hAnsi="Cambria"/>
        </w:rPr>
        <w:t>: Regula créditos a medio/largo plazo (≥ 2 años). Excluye bienes militares y agrícolas. Acuerdos sectoriales específicos (naves, nuclear, renovables).</w:t>
      </w:r>
    </w:p>
    <w:p w14:paraId="02C1D650" w14:textId="77777777" w:rsidR="008B4E2E" w:rsidRPr="002A4F38" w:rsidRDefault="008B4E2E" w:rsidP="002A4F38">
      <w:pPr>
        <w:numPr>
          <w:ilvl w:val="0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Clasificación de Países y Condiciones</w:t>
      </w:r>
      <w:r w:rsidRPr="002A4F38">
        <w:rPr>
          <w:rFonts w:ascii="Cambria" w:hAnsi="Cambria"/>
        </w:rPr>
        <w:t>:</w:t>
      </w:r>
    </w:p>
    <w:p w14:paraId="61476313" w14:textId="77777777" w:rsidR="008B4E2E" w:rsidRPr="002A4F38" w:rsidRDefault="008B4E2E" w:rsidP="002A4F38">
      <w:pPr>
        <w:numPr>
          <w:ilvl w:val="1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Categoría I</w:t>
      </w:r>
      <w:r w:rsidRPr="002A4F38">
        <w:rPr>
          <w:rFonts w:ascii="Cambria" w:hAnsi="Cambria"/>
        </w:rPr>
        <w:t xml:space="preserve"> (Altos ingresos): Plazo máximo 5 años (8,5 con notificación).</w:t>
      </w:r>
    </w:p>
    <w:p w14:paraId="0AB0A999" w14:textId="77777777" w:rsidR="008B4E2E" w:rsidRPr="002A4F38" w:rsidRDefault="008B4E2E" w:rsidP="002A4F38">
      <w:pPr>
        <w:numPr>
          <w:ilvl w:val="1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Categoría II (</w:t>
      </w:r>
      <w:r w:rsidRPr="002A4F38">
        <w:rPr>
          <w:rFonts w:ascii="Cambria" w:hAnsi="Cambria"/>
        </w:rPr>
        <w:t>Intermedios): Plazo máximo 10 años.</w:t>
      </w:r>
    </w:p>
    <w:p w14:paraId="366706F5" w14:textId="77777777" w:rsidR="008B4E2E" w:rsidRPr="002A4F38" w:rsidRDefault="008B4E2E" w:rsidP="002A4F38">
      <w:pPr>
        <w:numPr>
          <w:ilvl w:val="0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Tipos de Crédito</w:t>
      </w:r>
      <w:r w:rsidRPr="002A4F38">
        <w:rPr>
          <w:rFonts w:ascii="Cambria" w:hAnsi="Cambria"/>
        </w:rPr>
        <w:t>:</w:t>
      </w:r>
    </w:p>
    <w:p w14:paraId="2982BD92" w14:textId="77777777" w:rsidR="008B4E2E" w:rsidRPr="002A4F38" w:rsidRDefault="008B4E2E" w:rsidP="002A4F38">
      <w:pPr>
        <w:numPr>
          <w:ilvl w:val="1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Concesionales</w:t>
      </w:r>
      <w:r w:rsidRPr="002A4F38">
        <w:rPr>
          <w:rFonts w:ascii="Cambria" w:hAnsi="Cambria"/>
        </w:rPr>
        <w:t>: Ayuda al desarrollo (países renta baja, proyectos no viables). Elemento de donación mínimo 35%.</w:t>
      </w:r>
    </w:p>
    <w:p w14:paraId="17AF5858" w14:textId="77777777" w:rsidR="008B4E2E" w:rsidRPr="002A4F38" w:rsidRDefault="008B4E2E" w:rsidP="002A4F38">
      <w:pPr>
        <w:numPr>
          <w:ilvl w:val="1"/>
          <w:numId w:val="6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Comerciales</w:t>
      </w:r>
      <w:r w:rsidRPr="002A4F38">
        <w:rPr>
          <w:rFonts w:ascii="Cambria" w:hAnsi="Cambria"/>
        </w:rPr>
        <w:t>: Pago al contado 15%, tipos fijos, amortización semestral.</w:t>
      </w:r>
    </w:p>
    <w:p w14:paraId="3CDCD454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6. Líneas ICO de Apoyo a la Internacionalización</w:t>
      </w:r>
    </w:p>
    <w:p w14:paraId="7ECA625E" w14:textId="77777777" w:rsidR="008B4E2E" w:rsidRPr="002A4F38" w:rsidRDefault="008B4E2E" w:rsidP="002A4F38">
      <w:pPr>
        <w:jc w:val="both"/>
        <w:rPr>
          <w:rFonts w:ascii="Cambria" w:hAnsi="Cambria"/>
        </w:rPr>
      </w:pPr>
      <w:r w:rsidRPr="002A4F38">
        <w:rPr>
          <w:rFonts w:ascii="Cambria" w:hAnsi="Cambria"/>
        </w:rPr>
        <w:t>El ICO actúa como Agencia Financiera del Estado a través de Líneas de Mediación con entidades de crédito (que asumen el riesgo).</w:t>
      </w:r>
    </w:p>
    <w:p w14:paraId="352CB7C5" w14:textId="77777777" w:rsidR="008B4E2E" w:rsidRPr="002A4F38" w:rsidRDefault="008B4E2E" w:rsidP="002A4F38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A4F38">
        <w:rPr>
          <w:rFonts w:ascii="Cambria" w:hAnsi="Cambria"/>
          <w:b/>
          <w:bCs/>
          <w:color w:val="auto"/>
          <w:sz w:val="24"/>
          <w:szCs w:val="24"/>
        </w:rPr>
        <w:t>6.1. Principales Líneas (2024)</w:t>
      </w:r>
    </w:p>
    <w:p w14:paraId="0F92D1B8" w14:textId="77777777" w:rsidR="008B4E2E" w:rsidRPr="002A4F38" w:rsidRDefault="008B4E2E" w:rsidP="002A4F38">
      <w:pPr>
        <w:numPr>
          <w:ilvl w:val="0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ICO Internacional</w:t>
      </w:r>
      <w:r w:rsidRPr="002A4F38">
        <w:rPr>
          <w:rFonts w:ascii="Cambria" w:hAnsi="Cambria"/>
        </w:rPr>
        <w:t>:</w:t>
      </w:r>
    </w:p>
    <w:p w14:paraId="0E842875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Destinatarios</w:t>
      </w:r>
      <w:r w:rsidRPr="002A4F38">
        <w:rPr>
          <w:rFonts w:ascii="Cambria" w:hAnsi="Cambria"/>
        </w:rPr>
        <w:t>: Empresas domiciliadas en España o extranjero con interés español.</w:t>
      </w:r>
    </w:p>
    <w:p w14:paraId="7F10D536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Conceptos:</w:t>
      </w:r>
      <w:r w:rsidRPr="002A4F38">
        <w:rPr>
          <w:rFonts w:ascii="Cambria" w:hAnsi="Cambria"/>
        </w:rPr>
        <w:t xml:space="preserve"> Liquidez, inversiones y gastos fuera del territorio nacional.</w:t>
      </w:r>
    </w:p>
    <w:p w14:paraId="43D0681C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Condiciones:</w:t>
      </w:r>
      <w:r w:rsidRPr="002A4F38">
        <w:rPr>
          <w:rFonts w:ascii="Cambria" w:hAnsi="Cambria"/>
        </w:rPr>
        <w:t xml:space="preserve"> Hasta 12,5 M€/cliente. Plazos 1 a 20 años.</w:t>
      </w:r>
    </w:p>
    <w:p w14:paraId="2D36DECD" w14:textId="77777777" w:rsidR="008B4E2E" w:rsidRPr="002A4F38" w:rsidRDefault="008B4E2E" w:rsidP="002A4F38">
      <w:pPr>
        <w:numPr>
          <w:ilvl w:val="0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ICO Exportadores</w:t>
      </w:r>
      <w:r w:rsidRPr="002A4F38">
        <w:rPr>
          <w:rFonts w:ascii="Cambria" w:hAnsi="Cambria"/>
        </w:rPr>
        <w:t>:</w:t>
      </w:r>
    </w:p>
    <w:p w14:paraId="2D0E3624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Destinatarios:</w:t>
      </w:r>
      <w:r w:rsidRPr="002A4F38">
        <w:rPr>
          <w:rFonts w:ascii="Cambria" w:hAnsi="Cambria"/>
        </w:rPr>
        <w:t xml:space="preserve"> Autónomos y empresas con domicilio en España.</w:t>
      </w:r>
    </w:p>
    <w:p w14:paraId="153FCA7D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lastRenderedPageBreak/>
        <w:t>Conceptos:</w:t>
      </w:r>
      <w:r w:rsidRPr="002A4F38">
        <w:rPr>
          <w:rFonts w:ascii="Cambria" w:hAnsi="Cambria"/>
        </w:rPr>
        <w:t xml:space="preserve"> Anticipo de facturas y costes de producción de bienes para exportación.</w:t>
      </w:r>
    </w:p>
    <w:p w14:paraId="4B47D4DB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Condiciones:</w:t>
      </w:r>
      <w:r w:rsidRPr="002A4F38">
        <w:rPr>
          <w:rFonts w:ascii="Cambria" w:hAnsi="Cambria"/>
        </w:rPr>
        <w:t xml:space="preserve"> Hasta 12,5 M€ saldo vivo.</w:t>
      </w:r>
    </w:p>
    <w:p w14:paraId="1DBDBF49" w14:textId="77777777" w:rsidR="008B4E2E" w:rsidRPr="002A4F38" w:rsidRDefault="008B4E2E" w:rsidP="002A4F38">
      <w:pPr>
        <w:numPr>
          <w:ilvl w:val="0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ICO Canal Internacional</w:t>
      </w:r>
      <w:r w:rsidRPr="002A4F38">
        <w:rPr>
          <w:rFonts w:ascii="Cambria" w:hAnsi="Cambria"/>
        </w:rPr>
        <w:t>:</w:t>
      </w:r>
    </w:p>
    <w:p w14:paraId="13601250" w14:textId="77777777" w:rsidR="008B4E2E" w:rsidRPr="002A4F38" w:rsidRDefault="008B4E2E" w:rsidP="002A4F38">
      <w:pPr>
        <w:numPr>
          <w:ilvl w:val="1"/>
          <w:numId w:val="7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Financiación a través de instituciones internacionales o bancos locales con acuerdos ICO. Sin límite de importe.</w:t>
      </w:r>
    </w:p>
    <w:p w14:paraId="67AB42C7" w14:textId="77777777" w:rsidR="008B4E2E" w:rsidRPr="002A4F38" w:rsidRDefault="008B4E2E" w:rsidP="002A4F38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2A4F38">
        <w:rPr>
          <w:rFonts w:ascii="Cambria" w:hAnsi="Cambria"/>
          <w:b/>
          <w:bCs/>
          <w:color w:val="auto"/>
          <w:sz w:val="24"/>
          <w:szCs w:val="24"/>
        </w:rPr>
        <w:t>6.2. Otros acuerdos y medidas</w:t>
      </w:r>
    </w:p>
    <w:p w14:paraId="302DC395" w14:textId="77777777" w:rsidR="008B4E2E" w:rsidRPr="002A4F38" w:rsidRDefault="008B4E2E" w:rsidP="002A4F38">
      <w:pPr>
        <w:numPr>
          <w:ilvl w:val="0"/>
          <w:numId w:val="8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Préstamos globales</w:t>
      </w:r>
      <w:r w:rsidRPr="002A4F38">
        <w:rPr>
          <w:rFonts w:ascii="Cambria" w:hAnsi="Cambria"/>
        </w:rPr>
        <w:t>: ICO-CAF (América Latina/Caribe, foco sostenibilidad) y ICO-BCIE (Centroamérica).</w:t>
      </w:r>
    </w:p>
    <w:p w14:paraId="66B4E532" w14:textId="77777777" w:rsidR="008B4E2E" w:rsidRPr="002A4F38" w:rsidRDefault="008B4E2E" w:rsidP="002A4F38">
      <w:pPr>
        <w:numPr>
          <w:ilvl w:val="0"/>
          <w:numId w:val="8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Líneas de Avales</w:t>
      </w:r>
      <w:r w:rsidRPr="002A4F38">
        <w:rPr>
          <w:rFonts w:ascii="Cambria" w:hAnsi="Cambria"/>
        </w:rPr>
        <w:t>: COVID-19, Inversión Real y Ucrania (para afectados por costes energéticos/guerra).</w:t>
      </w:r>
    </w:p>
    <w:p w14:paraId="44C9A69A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7. El Convenio de Ajuste Recíproco de Intereses (CARI)</w:t>
      </w:r>
    </w:p>
    <w:p w14:paraId="070929F5" w14:textId="77777777" w:rsidR="008B4E2E" w:rsidRPr="002A4F38" w:rsidRDefault="008B4E2E" w:rsidP="002A4F38">
      <w:pPr>
        <w:numPr>
          <w:ilvl w:val="0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Concepto</w:t>
      </w:r>
      <w:r w:rsidRPr="002A4F38">
        <w:rPr>
          <w:rFonts w:ascii="Cambria" w:hAnsi="Cambria"/>
        </w:rPr>
        <w:t>: Sistema de apoyo gestionado por el ICO que incentiva la concesión de créditos a la exportación a largo plazo y tipo fijo (Consenso OCDE).</w:t>
      </w:r>
    </w:p>
    <w:p w14:paraId="059B3E7A" w14:textId="77777777" w:rsidR="008B4E2E" w:rsidRPr="002A4F38" w:rsidRDefault="008B4E2E" w:rsidP="002A4F38">
      <w:pPr>
        <w:numPr>
          <w:ilvl w:val="0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Mecanismo</w:t>
      </w:r>
      <w:r w:rsidRPr="002A4F38">
        <w:rPr>
          <w:rFonts w:ascii="Cambria" w:hAnsi="Cambria"/>
        </w:rPr>
        <w:t>: El ICO cubre la diferencia entre el tipo fijo del Consenso (CIRR) cobrado al cliente y el coste de mercado de los fondos para el banco (Euribor/Libor + margen).</w:t>
      </w:r>
    </w:p>
    <w:p w14:paraId="2FB870B7" w14:textId="77777777" w:rsidR="008B4E2E" w:rsidRPr="002A4F38" w:rsidRDefault="008B4E2E" w:rsidP="002A4F38">
      <w:pPr>
        <w:numPr>
          <w:ilvl w:val="1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Si Tipo Consenso &lt; Coste Mercado: ICO paga al Banco.</w:t>
      </w:r>
    </w:p>
    <w:p w14:paraId="51C8DE44" w14:textId="77777777" w:rsidR="008B4E2E" w:rsidRPr="002A4F38" w:rsidRDefault="008B4E2E" w:rsidP="002A4F38">
      <w:pPr>
        <w:numPr>
          <w:ilvl w:val="1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</w:rPr>
        <w:t>Si Tipo Consenso &gt; Coste Mercado: Banco paga al ICO.</w:t>
      </w:r>
    </w:p>
    <w:p w14:paraId="2203C2FA" w14:textId="77777777" w:rsidR="008B4E2E" w:rsidRPr="002A4F38" w:rsidRDefault="008B4E2E" w:rsidP="002A4F38">
      <w:pPr>
        <w:numPr>
          <w:ilvl w:val="0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Ventajas</w:t>
      </w:r>
      <w:r w:rsidRPr="002A4F38">
        <w:rPr>
          <w:rFonts w:ascii="Cambria" w:hAnsi="Cambria"/>
        </w:rPr>
        <w:t>: Elimina incertidumbre de tipos de interés para el deudor extranjero y permite al exportador ofrecer coste financiero fijo y competitivo.</w:t>
      </w:r>
    </w:p>
    <w:p w14:paraId="055BB65C" w14:textId="77777777" w:rsidR="008B4E2E" w:rsidRPr="002A4F38" w:rsidRDefault="008B4E2E" w:rsidP="002A4F38">
      <w:pPr>
        <w:numPr>
          <w:ilvl w:val="0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Créditos beneficiarios</w:t>
      </w:r>
      <w:r w:rsidRPr="002A4F38">
        <w:rPr>
          <w:rFonts w:ascii="Cambria" w:hAnsi="Cambria"/>
        </w:rPr>
        <w:t xml:space="preserve">: Crédito Comprador (el más usado), Suministrador, Líneas de Crédito, Leasing de exportación y </w:t>
      </w:r>
      <w:proofErr w:type="spellStart"/>
      <w:r w:rsidRPr="002A4F38">
        <w:rPr>
          <w:rFonts w:ascii="Cambria" w:hAnsi="Cambria"/>
        </w:rPr>
        <w:t>Forfaiting</w:t>
      </w:r>
      <w:proofErr w:type="spellEnd"/>
      <w:r w:rsidRPr="002A4F38">
        <w:rPr>
          <w:rFonts w:ascii="Cambria" w:hAnsi="Cambria"/>
        </w:rPr>
        <w:t>.</w:t>
      </w:r>
    </w:p>
    <w:p w14:paraId="2A6F8A1E" w14:textId="77777777" w:rsidR="008B4E2E" w:rsidRPr="002A4F38" w:rsidRDefault="008B4E2E" w:rsidP="002A4F38">
      <w:pPr>
        <w:numPr>
          <w:ilvl w:val="0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b/>
          <w:bCs/>
        </w:rPr>
        <w:t>Condiciones de financiación (CARI)</w:t>
      </w:r>
      <w:r w:rsidRPr="002A4F38">
        <w:rPr>
          <w:rFonts w:ascii="Cambria" w:hAnsi="Cambria"/>
        </w:rPr>
        <w:t>:</w:t>
      </w:r>
    </w:p>
    <w:p w14:paraId="14125833" w14:textId="77777777" w:rsidR="008B4E2E" w:rsidRPr="002A4F38" w:rsidRDefault="008B4E2E" w:rsidP="002A4F38">
      <w:pPr>
        <w:numPr>
          <w:ilvl w:val="1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Importe:</w:t>
      </w:r>
      <w:r w:rsidRPr="002A4F38">
        <w:rPr>
          <w:rFonts w:ascii="Cambria" w:hAnsi="Cambria"/>
        </w:rPr>
        <w:t xml:space="preserve"> 85% de bienes/servicios españoles + 85% de material extranjero (limitado al 15-30% del total) + gastos locales (hasta 100% con límite del 30% del contrato).</w:t>
      </w:r>
    </w:p>
    <w:p w14:paraId="1ECE51F4" w14:textId="77777777" w:rsidR="008B4E2E" w:rsidRPr="002A4F38" w:rsidRDefault="008B4E2E" w:rsidP="002A4F38">
      <w:pPr>
        <w:numPr>
          <w:ilvl w:val="1"/>
          <w:numId w:val="9"/>
        </w:numPr>
        <w:jc w:val="both"/>
        <w:rPr>
          <w:rFonts w:ascii="Cambria" w:hAnsi="Cambria"/>
        </w:rPr>
      </w:pPr>
      <w:r w:rsidRPr="002A4F38">
        <w:rPr>
          <w:rFonts w:ascii="Cambria" w:hAnsi="Cambria"/>
          <w:u w:val="single"/>
        </w:rPr>
        <w:t>Plazos</w:t>
      </w:r>
      <w:r w:rsidRPr="002A4F38">
        <w:rPr>
          <w:rFonts w:ascii="Cambria" w:hAnsi="Cambria"/>
        </w:rPr>
        <w:t>: Según categoría OCDE (5-8,5 años o 10 años).</w:t>
      </w:r>
    </w:p>
    <w:p w14:paraId="6C2AC4AC" w14:textId="77777777" w:rsidR="008B4E2E" w:rsidRPr="002A4F38" w:rsidRDefault="008B4E2E" w:rsidP="002A4F3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2A4F38">
        <w:rPr>
          <w:rFonts w:ascii="Cambria" w:hAnsi="Cambria"/>
          <w:b/>
          <w:bCs/>
          <w:color w:val="auto"/>
          <w:sz w:val="28"/>
          <w:szCs w:val="28"/>
        </w:rPr>
        <w:t>8. Conclusión</w:t>
      </w:r>
    </w:p>
    <w:p w14:paraId="3FC7DBD1" w14:textId="77777777" w:rsidR="008B4E2E" w:rsidRPr="002A4F38" w:rsidRDefault="008B4E2E" w:rsidP="002A4F38">
      <w:pPr>
        <w:jc w:val="both"/>
        <w:rPr>
          <w:rFonts w:ascii="Cambria" w:hAnsi="Cambria"/>
        </w:rPr>
      </w:pPr>
      <w:r w:rsidRPr="002A4F38">
        <w:rPr>
          <w:rFonts w:ascii="Cambria" w:hAnsi="Cambria"/>
        </w:rPr>
        <w:t xml:space="preserve">La crisis exigió un refuerzo de los instrumentos públicos para suplir la restricción financiera privada. La Administración española ha adaptado las normas del crédito </w:t>
      </w:r>
      <w:r w:rsidRPr="002A4F38">
        <w:rPr>
          <w:rFonts w:ascii="Cambria" w:hAnsi="Cambria"/>
        </w:rPr>
        <w:lastRenderedPageBreak/>
        <w:t>oficial para aumentar la liquidez, facilitar el acceso y sostener operaciones que el mercado no cubriría por sí solo, siendo herramientas fundamentales para la internacionalización.</w:t>
      </w:r>
    </w:p>
    <w:p w14:paraId="04E6E1EF" w14:textId="77777777" w:rsidR="00A65383" w:rsidRPr="002A4F38" w:rsidRDefault="00A65383" w:rsidP="002A4F38">
      <w:pPr>
        <w:jc w:val="both"/>
        <w:rPr>
          <w:rFonts w:ascii="Cambria" w:hAnsi="Cambria"/>
        </w:rPr>
      </w:pPr>
    </w:p>
    <w:sectPr w:rsidR="00A65383" w:rsidRPr="002A4F3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811CDC" w14:textId="77777777" w:rsidR="008B4E2E" w:rsidRDefault="008B4E2E" w:rsidP="008B4E2E">
      <w:pPr>
        <w:spacing w:after="0" w:line="240" w:lineRule="auto"/>
      </w:pPr>
      <w:r>
        <w:separator/>
      </w:r>
    </w:p>
  </w:endnote>
  <w:endnote w:type="continuationSeparator" w:id="0">
    <w:p w14:paraId="0BA94BAD" w14:textId="77777777" w:rsidR="008B4E2E" w:rsidRDefault="008B4E2E" w:rsidP="008B4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23512" w14:textId="77777777" w:rsidR="008B4E2E" w:rsidRDefault="008B4E2E" w:rsidP="008B4E2E">
      <w:pPr>
        <w:spacing w:after="0" w:line="240" w:lineRule="auto"/>
      </w:pPr>
      <w:r>
        <w:separator/>
      </w:r>
    </w:p>
  </w:footnote>
  <w:footnote w:type="continuationSeparator" w:id="0">
    <w:p w14:paraId="648590E6" w14:textId="77777777" w:rsidR="008B4E2E" w:rsidRDefault="008B4E2E" w:rsidP="008B4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305DC" w14:textId="5A5A65FB" w:rsidR="008B4E2E" w:rsidRPr="008B4E2E" w:rsidRDefault="008B4E2E" w:rsidP="008B4E2E">
    <w:pPr>
      <w:pStyle w:val="Encabezado"/>
      <w:jc w:val="both"/>
      <w:rPr>
        <w:rFonts w:ascii="Palatino Linotype" w:hAnsi="Palatino Linotype"/>
        <w:i/>
        <w:iCs/>
      </w:rPr>
    </w:pPr>
    <w:r w:rsidRPr="008B4E2E">
      <w:rPr>
        <w:rFonts w:ascii="Palatino Linotype" w:hAnsi="Palatino Linotype"/>
        <w:b/>
        <w:bCs/>
        <w:i/>
        <w:iCs/>
      </w:rPr>
      <w:t>TEMA 7 -</w:t>
    </w:r>
    <w:r w:rsidRPr="008B4E2E">
      <w:rPr>
        <w:rFonts w:ascii="Palatino Linotype" w:hAnsi="Palatino Linotype"/>
        <w:i/>
        <w:iCs/>
      </w:rPr>
      <w:t xml:space="preserve"> Instrumentos financieros de apoyo a la internacionalización de la economía y las empresas españolas (I). El Crédito Oficial. Características principales; el Consenso OCDE; Líneas ICO de apoyo a la internacionalización; el Convenio de Ajuste Recíproco de Intereses; el crédito suministrador y el crédito comprador.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5506D"/>
    <w:multiLevelType w:val="multilevel"/>
    <w:tmpl w:val="70C6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E463CF"/>
    <w:multiLevelType w:val="multilevel"/>
    <w:tmpl w:val="9B68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8B2350"/>
    <w:multiLevelType w:val="hybridMultilevel"/>
    <w:tmpl w:val="F514878E"/>
    <w:lvl w:ilvl="0" w:tplc="D70C94E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6B6D9A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40C7E6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FFA03A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E7C968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A0C86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2E400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6D0714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F8224D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D503B3"/>
    <w:multiLevelType w:val="multilevel"/>
    <w:tmpl w:val="221A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7A2705"/>
    <w:multiLevelType w:val="multilevel"/>
    <w:tmpl w:val="30605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3569C3"/>
    <w:multiLevelType w:val="multilevel"/>
    <w:tmpl w:val="538E0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8C68A2"/>
    <w:multiLevelType w:val="multilevel"/>
    <w:tmpl w:val="A8E6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EC6E7E"/>
    <w:multiLevelType w:val="multilevel"/>
    <w:tmpl w:val="40E2B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834D5B"/>
    <w:multiLevelType w:val="multilevel"/>
    <w:tmpl w:val="B154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5846267">
    <w:abstractNumId w:val="3"/>
  </w:num>
  <w:num w:numId="2" w16cid:durableId="1190410592">
    <w:abstractNumId w:val="5"/>
  </w:num>
  <w:num w:numId="3" w16cid:durableId="862938168">
    <w:abstractNumId w:val="4"/>
  </w:num>
  <w:num w:numId="4" w16cid:durableId="1055741638">
    <w:abstractNumId w:val="7"/>
  </w:num>
  <w:num w:numId="5" w16cid:durableId="1153982641">
    <w:abstractNumId w:val="2"/>
  </w:num>
  <w:num w:numId="6" w16cid:durableId="693310633">
    <w:abstractNumId w:val="0"/>
  </w:num>
  <w:num w:numId="7" w16cid:durableId="1389570734">
    <w:abstractNumId w:val="1"/>
  </w:num>
  <w:num w:numId="8" w16cid:durableId="1733307630">
    <w:abstractNumId w:val="8"/>
  </w:num>
  <w:num w:numId="9" w16cid:durableId="20411265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E2E"/>
    <w:rsid w:val="00296099"/>
    <w:rsid w:val="002A4F38"/>
    <w:rsid w:val="00345305"/>
    <w:rsid w:val="003D55E4"/>
    <w:rsid w:val="005803BC"/>
    <w:rsid w:val="008B4E2E"/>
    <w:rsid w:val="00A65383"/>
    <w:rsid w:val="00A8675C"/>
    <w:rsid w:val="00C12CFD"/>
    <w:rsid w:val="00D032C6"/>
    <w:rsid w:val="00DB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77232"/>
  <w15:chartTrackingRefBased/>
  <w15:docId w15:val="{4E94ABD7-9867-4C32-A81A-9F6286B5D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4E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4E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B4E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4E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4E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4E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4E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4E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4E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B4E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4E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B4E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4E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4E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4E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4E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4E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4E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4E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4E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4E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4E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4E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4E2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B4E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4E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4E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4E2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B4E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B4E2E"/>
  </w:style>
  <w:style w:type="paragraph" w:styleId="Piedepgina">
    <w:name w:val="footer"/>
    <w:basedOn w:val="Normal"/>
    <w:link w:val="PiedepginaCar"/>
    <w:uiPriority w:val="99"/>
    <w:unhideWhenUsed/>
    <w:rsid w:val="008B4E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B4E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921</Words>
  <Characters>5069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2025-11-21T12:25:00Z</dcterms:created>
  <dcterms:modified xsi:type="dcterms:W3CDTF">2026-01-14T14:09:00Z</dcterms:modified>
</cp:coreProperties>
</file>