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031C8"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1. LA ESCUELA NEOCLÁSICA: EL NACIMIENTO DE LA MICROECONOMÍA MODERNA</w:t>
      </w:r>
    </w:p>
    <w:p w14:paraId="3D522DE1" w14:textId="42855067" w:rsidR="00B75BEF" w:rsidRPr="00B75BEF" w:rsidRDefault="00B75BEF" w:rsidP="00B75BEF">
      <w:pPr>
        <w:numPr>
          <w:ilvl w:val="0"/>
          <w:numId w:val="8"/>
        </w:numPr>
        <w:jc w:val="both"/>
        <w:rPr>
          <w:rFonts w:ascii="Palatino Linotype" w:hAnsi="Palatino Linotype"/>
        </w:rPr>
      </w:pPr>
      <w:r w:rsidRPr="00B75BEF">
        <w:rPr>
          <w:rFonts w:ascii="Palatino Linotype" w:hAnsi="Palatino Linotype"/>
          <w:b/>
          <w:bCs/>
        </w:rPr>
        <w:t>La Revolución Marginalista sepulta la teoría del valor-trabajo para centrarse en la utilidad subjetiva.</w:t>
      </w:r>
      <w:r w:rsidRPr="00B75BEF">
        <w:rPr>
          <w:rFonts w:ascii="Palatino Linotype" w:hAnsi="Palatino Linotype"/>
        </w:rPr>
        <w:t xml:space="preserve"> Entre 1871 y 1874, autores como Jevons, Menger y Walras postulan de forma independiente que el valor de un bien no depende del coste de producción, sino de la importancia que el individuo otorga a la última unidad consumida para satisfacer sus deseos.</w:t>
      </w:r>
    </w:p>
    <w:p w14:paraId="49493651" w14:textId="5FDD23AE" w:rsidR="00B75BEF" w:rsidRPr="00B75BEF" w:rsidRDefault="00B75BEF" w:rsidP="00B75BEF">
      <w:pPr>
        <w:numPr>
          <w:ilvl w:val="0"/>
          <w:numId w:val="8"/>
        </w:numPr>
        <w:jc w:val="both"/>
        <w:rPr>
          <w:rFonts w:ascii="Palatino Linotype" w:hAnsi="Palatino Linotype"/>
        </w:rPr>
      </w:pPr>
      <w:r w:rsidRPr="00B75BEF">
        <w:rPr>
          <w:rFonts w:ascii="Palatino Linotype" w:hAnsi="Palatino Linotype"/>
          <w:b/>
          <w:bCs/>
        </w:rPr>
        <w:t>El individualismo metodológico se convierte en el pilar central del análisis económico.</w:t>
      </w:r>
      <w:r w:rsidRPr="00B75BEF">
        <w:rPr>
          <w:rFonts w:ascii="Palatino Linotype" w:hAnsi="Palatino Linotype"/>
        </w:rPr>
        <w:t xml:space="preserve"> A diferencia de los clásicos que estudiaban clases sociales o países, los neoclásicos explican los fenómenos sociales a partir del comportamiento de agentes individuales (hogares y empresas) que buscan maximizar su utilidad o beneficio.</w:t>
      </w:r>
    </w:p>
    <w:p w14:paraId="18B591AD" w14:textId="77777777" w:rsidR="00B75BEF" w:rsidRPr="00B75BEF" w:rsidRDefault="00B75BEF" w:rsidP="00B75BEF">
      <w:pPr>
        <w:numPr>
          <w:ilvl w:val="0"/>
          <w:numId w:val="8"/>
        </w:numPr>
        <w:jc w:val="both"/>
        <w:rPr>
          <w:rFonts w:ascii="Palatino Linotype" w:hAnsi="Palatino Linotype"/>
        </w:rPr>
      </w:pPr>
      <w:r w:rsidRPr="00B75BEF">
        <w:rPr>
          <w:rFonts w:ascii="Palatino Linotype" w:hAnsi="Palatino Linotype"/>
          <w:b/>
          <w:bCs/>
        </w:rPr>
        <w:t>El instrumental matemático del cálculo diferencial permite la formalización científica de la economía.</w:t>
      </w:r>
      <w:r w:rsidRPr="00B75BEF">
        <w:rPr>
          <w:rFonts w:ascii="Palatino Linotype" w:hAnsi="Palatino Linotype"/>
        </w:rPr>
        <w:t xml:space="preserve"> La introducción de problemas de optimización y el análisis de cambios en el margen diferencian esta escuela de sus predecesores, que basaban su obra en razonamientos verbales y ensayísticos.</w:t>
      </w:r>
    </w:p>
    <w:p w14:paraId="08A261EF"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1.1. Ramas de la Escuela Neoclásica</w:t>
      </w:r>
    </w:p>
    <w:p w14:paraId="35EA49FA" w14:textId="2026FCF3" w:rsidR="00B75BEF" w:rsidRPr="00B75BEF" w:rsidRDefault="00B75BEF" w:rsidP="00B75BEF">
      <w:pPr>
        <w:numPr>
          <w:ilvl w:val="0"/>
          <w:numId w:val="9"/>
        </w:numPr>
        <w:jc w:val="both"/>
        <w:rPr>
          <w:rFonts w:ascii="Palatino Linotype" w:hAnsi="Palatino Linotype"/>
        </w:rPr>
      </w:pPr>
      <w:r w:rsidRPr="00B75BEF">
        <w:rPr>
          <w:rFonts w:ascii="Palatino Linotype" w:hAnsi="Palatino Linotype"/>
          <w:b/>
          <w:bCs/>
        </w:rPr>
        <w:t>La Escuela de Cambridge (Marshall) desarrolla el enfoque de equilibrio parcial.</w:t>
      </w:r>
      <w:r w:rsidRPr="00B75BEF">
        <w:rPr>
          <w:rFonts w:ascii="Palatino Linotype" w:hAnsi="Palatino Linotype"/>
        </w:rPr>
        <w:t xml:space="preserve"> Alfred Marshall sistematiza el análisis de mercados individuales bajo la cláusula </w:t>
      </w:r>
      <w:proofErr w:type="spellStart"/>
      <w:r w:rsidRPr="00B75BEF">
        <w:rPr>
          <w:rFonts w:ascii="Palatino Linotype" w:hAnsi="Palatino Linotype"/>
          <w:i/>
          <w:iCs/>
        </w:rPr>
        <w:t>ceteris</w:t>
      </w:r>
      <w:proofErr w:type="spellEnd"/>
      <w:r w:rsidRPr="00B75BEF">
        <w:rPr>
          <w:rFonts w:ascii="Palatino Linotype" w:hAnsi="Palatino Linotype"/>
          <w:i/>
          <w:iCs/>
        </w:rPr>
        <w:t xml:space="preserve"> </w:t>
      </w:r>
      <w:proofErr w:type="spellStart"/>
      <w:r w:rsidRPr="00B75BEF">
        <w:rPr>
          <w:rFonts w:ascii="Palatino Linotype" w:hAnsi="Palatino Linotype"/>
          <w:i/>
          <w:iCs/>
        </w:rPr>
        <w:t>paribus</w:t>
      </w:r>
      <w:proofErr w:type="spellEnd"/>
      <w:r w:rsidRPr="00B75BEF">
        <w:rPr>
          <w:rFonts w:ascii="Palatino Linotype" w:hAnsi="Palatino Linotype"/>
        </w:rPr>
        <w:t>,</w:t>
      </w:r>
      <w:r>
        <w:rPr>
          <w:rFonts w:ascii="Palatino Linotype" w:hAnsi="Palatino Linotype"/>
        </w:rPr>
        <w:t xml:space="preserve"> </w:t>
      </w:r>
      <w:r w:rsidRPr="00B75BEF">
        <w:rPr>
          <w:rFonts w:ascii="Palatino Linotype" w:hAnsi="Palatino Linotype"/>
        </w:rPr>
        <w:t>para explicar que tanto la oferta (costes) como la demanda (utilidad) determinan simultáneamente el precio.</w:t>
      </w:r>
    </w:p>
    <w:p w14:paraId="34992EEF" w14:textId="68ECD332" w:rsidR="00B75BEF" w:rsidRPr="00B75BEF" w:rsidRDefault="00B75BEF" w:rsidP="00B75BEF">
      <w:pPr>
        <w:numPr>
          <w:ilvl w:val="0"/>
          <w:numId w:val="9"/>
        </w:numPr>
        <w:jc w:val="both"/>
        <w:rPr>
          <w:rFonts w:ascii="Palatino Linotype" w:hAnsi="Palatino Linotype"/>
        </w:rPr>
      </w:pPr>
      <w:r w:rsidRPr="00B75BEF">
        <w:rPr>
          <w:rFonts w:ascii="Palatino Linotype" w:hAnsi="Palatino Linotype"/>
          <w:b/>
          <w:bCs/>
        </w:rPr>
        <w:t>La Escuela de Lausana (Walras-Pareto) busca la armonía del equilibrio general.</w:t>
      </w:r>
      <w:r w:rsidRPr="00B75BEF">
        <w:rPr>
          <w:rFonts w:ascii="Palatino Linotype" w:hAnsi="Palatino Linotype"/>
        </w:rPr>
        <w:t xml:space="preserve"> Léon Walras describe la economía como un sistema de mercados interconectados que tienden al equilibrio mediante un proceso de tanteo o </w:t>
      </w:r>
      <w:proofErr w:type="spellStart"/>
      <w:r w:rsidRPr="00B75BEF">
        <w:rPr>
          <w:rFonts w:ascii="Palatino Linotype" w:hAnsi="Palatino Linotype"/>
          <w:i/>
          <w:iCs/>
        </w:rPr>
        <w:t>t</w:t>
      </w:r>
      <w:r>
        <w:rPr>
          <w:rFonts w:ascii="Palatino Linotype" w:hAnsi="Palatino Linotype"/>
          <w:i/>
          <w:iCs/>
        </w:rPr>
        <w:t>a</w:t>
      </w:r>
      <w:r w:rsidRPr="00B75BEF">
        <w:rPr>
          <w:rFonts w:ascii="Palatino Linotype" w:hAnsi="Palatino Linotype"/>
          <w:i/>
          <w:iCs/>
        </w:rPr>
        <w:t>tonnement</w:t>
      </w:r>
      <w:proofErr w:type="spellEnd"/>
      <w:r w:rsidRPr="00B75BEF">
        <w:rPr>
          <w:rFonts w:ascii="Palatino Linotype" w:hAnsi="Palatino Linotype"/>
        </w:rPr>
        <w:t>, mientras que Pareto define las condiciones de eficiencia u óptimo social.</w:t>
      </w:r>
    </w:p>
    <w:p w14:paraId="73AA5E43" w14:textId="77777777" w:rsidR="00B75BEF" w:rsidRPr="00B75BEF" w:rsidRDefault="00B75BEF" w:rsidP="00B75BEF">
      <w:pPr>
        <w:numPr>
          <w:ilvl w:val="0"/>
          <w:numId w:val="9"/>
        </w:numPr>
        <w:jc w:val="both"/>
        <w:rPr>
          <w:rFonts w:ascii="Palatino Linotype" w:hAnsi="Palatino Linotype"/>
        </w:rPr>
      </w:pPr>
      <w:r w:rsidRPr="00B75BEF">
        <w:rPr>
          <w:rFonts w:ascii="Palatino Linotype" w:hAnsi="Palatino Linotype"/>
          <w:b/>
          <w:bCs/>
        </w:rPr>
        <w:t>La Escuela Austríaca (Menger) enfatiza el tiempo y el carácter dinámico de la economía.</w:t>
      </w:r>
      <w:r w:rsidRPr="00B75BEF">
        <w:rPr>
          <w:rFonts w:ascii="Palatino Linotype" w:hAnsi="Palatino Linotype"/>
        </w:rPr>
        <w:t xml:space="preserve"> Carl Menger rechaza el método matemático por considerarlo estático y se centra en la lógica deductiva, introduciendo conceptos como el coste de oportunidad y la preferencia temporal de los bienes.</w:t>
      </w:r>
    </w:p>
    <w:p w14:paraId="69EF2F91" w14:textId="197FF836" w:rsidR="00B75BEF" w:rsidRPr="00B75BEF" w:rsidRDefault="00B75BEF" w:rsidP="00B75BEF">
      <w:pPr>
        <w:jc w:val="both"/>
        <w:rPr>
          <w:rFonts w:ascii="Palatino Linotype" w:hAnsi="Palatino Linotype"/>
        </w:rPr>
      </w:pPr>
    </w:p>
    <w:p w14:paraId="1800B800"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lastRenderedPageBreak/>
        <w:t>2. LA REVOLUCIÓN KEYNESIANA: EL DESPERTAR DE LA MACROECONOMÍA</w:t>
      </w:r>
    </w:p>
    <w:p w14:paraId="7E038775" w14:textId="57A2507E" w:rsidR="00B75BEF" w:rsidRPr="00B75BEF" w:rsidRDefault="00B75BEF" w:rsidP="00B75BEF">
      <w:pPr>
        <w:numPr>
          <w:ilvl w:val="0"/>
          <w:numId w:val="10"/>
        </w:numPr>
        <w:jc w:val="both"/>
        <w:rPr>
          <w:rFonts w:ascii="Palatino Linotype" w:hAnsi="Palatino Linotype"/>
        </w:rPr>
      </w:pPr>
      <w:r w:rsidRPr="00B75BEF">
        <w:rPr>
          <w:rFonts w:ascii="Palatino Linotype" w:hAnsi="Palatino Linotype"/>
          <w:b/>
          <w:bCs/>
        </w:rPr>
        <w:t>La Demanda Agregada toma las riendas de la producción frente a la ineficacia de la Ley de Say.</w:t>
      </w:r>
      <w:r w:rsidRPr="00B75BEF">
        <w:rPr>
          <w:rFonts w:ascii="Palatino Linotype" w:hAnsi="Palatino Linotype"/>
        </w:rPr>
        <w:t xml:space="preserve"> Keynes rompe con el dogma neoclásico de que "toda oferta crea su propia demanda" al demostrar que, en economías monetarias, el dinero se atesora por precaución o especulación, provocando que la producción se detenga por falta de compradores.</w:t>
      </w:r>
    </w:p>
    <w:p w14:paraId="40FF2297" w14:textId="29ABCDD2" w:rsidR="00B75BEF" w:rsidRPr="00B75BEF" w:rsidRDefault="00B75BEF" w:rsidP="00B75BEF">
      <w:pPr>
        <w:numPr>
          <w:ilvl w:val="0"/>
          <w:numId w:val="10"/>
        </w:numPr>
        <w:jc w:val="both"/>
        <w:rPr>
          <w:rFonts w:ascii="Palatino Linotype" w:hAnsi="Palatino Linotype"/>
        </w:rPr>
      </w:pPr>
      <w:r w:rsidRPr="00B75BEF">
        <w:rPr>
          <w:rFonts w:ascii="Palatino Linotype" w:hAnsi="Palatino Linotype"/>
          <w:b/>
          <w:bCs/>
        </w:rPr>
        <w:t>El desempleo involuntario es un fallo sistémico del mercado que la flexibilidad salarial no puede resolver.</w:t>
      </w:r>
      <w:r w:rsidRPr="00B75BEF">
        <w:rPr>
          <w:rFonts w:ascii="Palatino Linotype" w:hAnsi="Palatino Linotype"/>
        </w:rPr>
        <w:t xml:space="preserve"> Keynes argumenta que el paro masivo de la Gran Depresión no se debe a salarios altos, sino a una demanda efectiva insuficiente; bajar los salarios nominales podría incluso empeorar la crisis al hundir el consumo de los trabajadores.</w:t>
      </w:r>
    </w:p>
    <w:p w14:paraId="7AFA8035" w14:textId="5F1946CE" w:rsidR="00B75BEF" w:rsidRPr="00B75BEF" w:rsidRDefault="00B75BEF" w:rsidP="00B75BEF">
      <w:pPr>
        <w:numPr>
          <w:ilvl w:val="0"/>
          <w:numId w:val="10"/>
        </w:numPr>
        <w:jc w:val="both"/>
        <w:rPr>
          <w:rFonts w:ascii="Palatino Linotype" w:hAnsi="Palatino Linotype"/>
        </w:rPr>
      </w:pPr>
      <w:r w:rsidRPr="00B75BEF">
        <w:rPr>
          <w:rFonts w:ascii="Palatino Linotype" w:hAnsi="Palatino Linotype"/>
          <w:b/>
          <w:bCs/>
        </w:rPr>
        <w:t xml:space="preserve">Los "Animal </w:t>
      </w:r>
      <w:proofErr w:type="spellStart"/>
      <w:r w:rsidRPr="00B75BEF">
        <w:rPr>
          <w:rFonts w:ascii="Palatino Linotype" w:hAnsi="Palatino Linotype"/>
          <w:b/>
          <w:bCs/>
        </w:rPr>
        <w:t>Spirits</w:t>
      </w:r>
      <w:proofErr w:type="spellEnd"/>
      <w:r w:rsidRPr="00B75BEF">
        <w:rPr>
          <w:rFonts w:ascii="Palatino Linotype" w:hAnsi="Palatino Linotype"/>
          <w:b/>
          <w:bCs/>
        </w:rPr>
        <w:t>" y la incertidumbre psicológica dominan la inversión empresarial.</w:t>
      </w:r>
      <w:r w:rsidRPr="00B75BEF">
        <w:rPr>
          <w:rFonts w:ascii="Palatino Linotype" w:hAnsi="Palatino Linotype"/>
        </w:rPr>
        <w:t xml:space="preserve"> La inversión no depende simplemente del tipo de interés, sino de oleadas de optimismo o pesimismo (animal </w:t>
      </w:r>
      <w:proofErr w:type="spellStart"/>
      <w:r w:rsidRPr="00B75BEF">
        <w:rPr>
          <w:rFonts w:ascii="Palatino Linotype" w:hAnsi="Palatino Linotype"/>
        </w:rPr>
        <w:t>spirits</w:t>
      </w:r>
      <w:proofErr w:type="spellEnd"/>
      <w:r w:rsidRPr="00B75BEF">
        <w:rPr>
          <w:rFonts w:ascii="Palatino Linotype" w:hAnsi="Palatino Linotype"/>
        </w:rPr>
        <w:t>) de los empresarios sobre el futuro, lo que la convierte en el componente más volátil e inestable de la economía.</w:t>
      </w:r>
    </w:p>
    <w:p w14:paraId="771569E3"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2.2. Herramientas y Modelos de Estabilización</w:t>
      </w:r>
    </w:p>
    <w:p w14:paraId="17F6FB99" w14:textId="03D953C6" w:rsidR="00B75BEF" w:rsidRPr="00B75BEF" w:rsidRDefault="00B75BEF" w:rsidP="00B75BEF">
      <w:pPr>
        <w:numPr>
          <w:ilvl w:val="0"/>
          <w:numId w:val="11"/>
        </w:numPr>
        <w:jc w:val="both"/>
        <w:rPr>
          <w:rFonts w:ascii="Palatino Linotype" w:hAnsi="Palatino Linotype"/>
        </w:rPr>
      </w:pPr>
      <w:r w:rsidRPr="00B75BEF">
        <w:rPr>
          <w:rFonts w:ascii="Palatino Linotype" w:hAnsi="Palatino Linotype"/>
          <w:b/>
          <w:bCs/>
        </w:rPr>
        <w:t>El Multiplicador Keynesiano convierte el gasto público en un potente motor de crecimiento.</w:t>
      </w:r>
      <w:r w:rsidRPr="00B75BEF">
        <w:rPr>
          <w:rFonts w:ascii="Palatino Linotype" w:hAnsi="Palatino Linotype"/>
        </w:rPr>
        <w:t xml:space="preserve"> Un incremento inicial del gasto estatal genera una cadena de nuevos ingresos y consumos que incrementan la renta </w:t>
      </w:r>
      <w:r w:rsidRPr="00B75BEF">
        <w:rPr>
          <w:rFonts w:ascii="Palatino Linotype" w:hAnsi="Palatino Linotype"/>
        </w:rPr>
        <w:t>nacional en</w:t>
      </w:r>
      <w:r w:rsidRPr="00B75BEF">
        <w:rPr>
          <w:rFonts w:ascii="Palatino Linotype" w:hAnsi="Palatino Linotype"/>
        </w:rPr>
        <w:t xml:space="preserve"> una cuantía muy superior a la inversión inicial.</w:t>
      </w:r>
    </w:p>
    <w:p w14:paraId="3206143F" w14:textId="488F7347" w:rsidR="00B75BEF" w:rsidRPr="00B75BEF" w:rsidRDefault="00B75BEF" w:rsidP="00B75BEF">
      <w:pPr>
        <w:numPr>
          <w:ilvl w:val="0"/>
          <w:numId w:val="11"/>
        </w:numPr>
        <w:jc w:val="both"/>
        <w:rPr>
          <w:rFonts w:ascii="Palatino Linotype" w:hAnsi="Palatino Linotype"/>
        </w:rPr>
      </w:pPr>
      <w:r w:rsidRPr="00B75BEF">
        <w:rPr>
          <w:rFonts w:ascii="Palatino Linotype" w:hAnsi="Palatino Linotype"/>
          <w:b/>
          <w:bCs/>
        </w:rPr>
        <w:t>La Trampa de Liquidez anula la potencia de la política monetaria en crisis profundas.</w:t>
      </w:r>
      <w:r w:rsidRPr="00B75BEF">
        <w:rPr>
          <w:rFonts w:ascii="Palatino Linotype" w:hAnsi="Palatino Linotype"/>
        </w:rPr>
        <w:t xml:space="preserve"> En situaciones de tipos de interés mínimos, los agentes prefieren mantener efectivo en lugar de bonos, por lo que las inyecciones de dinero del Banco Central no logran reducir más los tipos ni estimular la inversión.</w:t>
      </w:r>
    </w:p>
    <w:p w14:paraId="6F239A1F" w14:textId="5B156516" w:rsidR="00B75BEF" w:rsidRPr="00B75BEF" w:rsidRDefault="00B75BEF" w:rsidP="00B75BEF">
      <w:pPr>
        <w:numPr>
          <w:ilvl w:val="0"/>
          <w:numId w:val="11"/>
        </w:numPr>
        <w:jc w:val="both"/>
        <w:rPr>
          <w:rFonts w:ascii="Palatino Linotype" w:hAnsi="Palatino Linotype"/>
        </w:rPr>
      </w:pPr>
      <w:r w:rsidRPr="00B75BEF">
        <w:rPr>
          <w:rFonts w:ascii="Palatino Linotype" w:hAnsi="Palatino Linotype"/>
          <w:b/>
          <w:bCs/>
        </w:rPr>
        <w:t>El Modelo IS-LM nace como el puente entre Keynes y los neoclásicos.</w:t>
      </w:r>
      <w:r w:rsidRPr="00B75BEF">
        <w:rPr>
          <w:rFonts w:ascii="Palatino Linotype" w:hAnsi="Palatino Linotype"/>
        </w:rPr>
        <w:t xml:space="preserve"> Ideado por Hicks, este modelo integra los mercados de bienes y dinero, permitiendo analizar cómo la política fiscal y monetaria interactúan para determinar el nivel de renta y los tipos de interés.</w:t>
      </w:r>
    </w:p>
    <w:p w14:paraId="43DC8AE0"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3. EL MONETARISMO Y LA CRÍTICA A LA INTERVENCIÓN</w:t>
      </w:r>
    </w:p>
    <w:p w14:paraId="7070B68B" w14:textId="7ABD48B5" w:rsidR="00B75BEF" w:rsidRPr="00B75BEF" w:rsidRDefault="00B75BEF" w:rsidP="00B75BEF">
      <w:pPr>
        <w:numPr>
          <w:ilvl w:val="0"/>
          <w:numId w:val="12"/>
        </w:numPr>
        <w:jc w:val="both"/>
        <w:rPr>
          <w:rFonts w:ascii="Palatino Linotype" w:hAnsi="Palatino Linotype"/>
        </w:rPr>
      </w:pPr>
      <w:r w:rsidRPr="00B75BEF">
        <w:rPr>
          <w:rFonts w:ascii="Palatino Linotype" w:hAnsi="Palatino Linotype"/>
          <w:b/>
          <w:bCs/>
        </w:rPr>
        <w:lastRenderedPageBreak/>
        <w:t>Milton Friedman proclama que la inflación es, en todo lugar y momento, un fenómeno monetario.</w:t>
      </w:r>
      <w:r w:rsidRPr="00B75BEF">
        <w:rPr>
          <w:rFonts w:ascii="Palatino Linotype" w:hAnsi="Palatino Linotype"/>
        </w:rPr>
        <w:t xml:space="preserve"> Recuperando la Teoría Cuantitativa del Dinero, los monetaristas sostienen que el crecimiento excesivo de la masa monetaria es la única causa del aumento sostenido de los precios a largo plazo.</w:t>
      </w:r>
    </w:p>
    <w:p w14:paraId="448191E1" w14:textId="288F94F0" w:rsidR="00B75BEF" w:rsidRPr="00B75BEF" w:rsidRDefault="00B75BEF" w:rsidP="00B75BEF">
      <w:pPr>
        <w:numPr>
          <w:ilvl w:val="0"/>
          <w:numId w:val="12"/>
        </w:numPr>
        <w:jc w:val="both"/>
        <w:rPr>
          <w:rFonts w:ascii="Palatino Linotype" w:hAnsi="Palatino Linotype"/>
        </w:rPr>
      </w:pPr>
      <w:r w:rsidRPr="00B75BEF">
        <w:rPr>
          <w:rFonts w:ascii="Palatino Linotype" w:hAnsi="Palatino Linotype"/>
          <w:b/>
          <w:bCs/>
        </w:rPr>
        <w:t>La Curva de Phillips vertical despoja al gobierno de la capacidad de reducir el paro permanentemente.</w:t>
      </w:r>
      <w:r w:rsidRPr="00B75BEF">
        <w:rPr>
          <w:rFonts w:ascii="Palatino Linotype" w:hAnsi="Palatino Linotype"/>
        </w:rPr>
        <w:t xml:space="preserve"> A largo plazo, cualquier intento de reducir el desempleo por debajo de su tasa natural solo genera inflación, ya que los agentes ajustan sus expectativas y exigen mayores salarios.</w:t>
      </w:r>
    </w:p>
    <w:p w14:paraId="39C634EA" w14:textId="1698CEFD" w:rsidR="00B75BEF" w:rsidRPr="00B75BEF" w:rsidRDefault="00B75BEF" w:rsidP="00B75BEF">
      <w:pPr>
        <w:jc w:val="both"/>
        <w:rPr>
          <w:rFonts w:ascii="Palatino Linotype" w:hAnsi="Palatino Linotype"/>
          <w:b/>
          <w:bCs/>
        </w:rPr>
      </w:pPr>
      <w:r w:rsidRPr="00B75BEF">
        <w:rPr>
          <w:rFonts w:ascii="Palatino Linotype" w:hAnsi="Palatino Linotype"/>
          <w:b/>
          <w:bCs/>
        </w:rPr>
        <w:t>4. CORRIENTES POS</w:t>
      </w:r>
      <w:r>
        <w:rPr>
          <w:rFonts w:ascii="Palatino Linotype" w:hAnsi="Palatino Linotype"/>
          <w:b/>
          <w:bCs/>
        </w:rPr>
        <w:t>T</w:t>
      </w:r>
      <w:r w:rsidRPr="00B75BEF">
        <w:rPr>
          <w:rFonts w:ascii="Palatino Linotype" w:hAnsi="Palatino Linotype"/>
          <w:b/>
          <w:bCs/>
        </w:rPr>
        <w:t>KEYNESIANAS Y DESEQUILIBRIO</w:t>
      </w:r>
    </w:p>
    <w:p w14:paraId="119F972F" w14:textId="27518418" w:rsidR="00B75BEF" w:rsidRPr="00B75BEF" w:rsidRDefault="00B75BEF" w:rsidP="00B75BEF">
      <w:pPr>
        <w:numPr>
          <w:ilvl w:val="0"/>
          <w:numId w:val="13"/>
        </w:numPr>
        <w:jc w:val="both"/>
        <w:rPr>
          <w:rFonts w:ascii="Palatino Linotype" w:hAnsi="Palatino Linotype"/>
        </w:rPr>
      </w:pPr>
      <w:r w:rsidRPr="00B75BEF">
        <w:rPr>
          <w:rFonts w:ascii="Palatino Linotype" w:hAnsi="Palatino Linotype"/>
          <w:b/>
          <w:bCs/>
        </w:rPr>
        <w:t>La Escuela Pos</w:t>
      </w:r>
      <w:r>
        <w:rPr>
          <w:rFonts w:ascii="Palatino Linotype" w:hAnsi="Palatino Linotype"/>
          <w:b/>
          <w:bCs/>
        </w:rPr>
        <w:t>t</w:t>
      </w:r>
      <w:r w:rsidRPr="00B75BEF">
        <w:rPr>
          <w:rFonts w:ascii="Palatino Linotype" w:hAnsi="Palatino Linotype"/>
          <w:b/>
          <w:bCs/>
        </w:rPr>
        <w:t>keynesiana rescata al Keynes más radical frente a la síntesis oficial.</w:t>
      </w:r>
      <w:r w:rsidRPr="00B75BEF">
        <w:rPr>
          <w:rFonts w:ascii="Palatino Linotype" w:hAnsi="Palatino Linotype"/>
        </w:rPr>
        <w:t xml:space="preserve"> Autores como Robinson, Kalecki y Minsky enfatizan la importancia de la distribución de la renta, la inestabilidad inherente de los mercados financieros y el papel de las instituciones, rechazando el equilibrio neoclásico incluso a largo plazo.</w:t>
      </w:r>
    </w:p>
    <w:p w14:paraId="33CE6AED" w14:textId="3E8D4351" w:rsidR="00B75BEF" w:rsidRPr="00B75BEF" w:rsidRDefault="00B75BEF" w:rsidP="00B75BEF">
      <w:pPr>
        <w:numPr>
          <w:ilvl w:val="0"/>
          <w:numId w:val="13"/>
        </w:numPr>
        <w:jc w:val="both"/>
        <w:rPr>
          <w:rFonts w:ascii="Palatino Linotype" w:hAnsi="Palatino Linotype"/>
        </w:rPr>
      </w:pPr>
      <w:r w:rsidRPr="00B75BEF">
        <w:rPr>
          <w:rFonts w:ascii="Palatino Linotype" w:hAnsi="Palatino Linotype"/>
          <w:b/>
          <w:bCs/>
        </w:rPr>
        <w:t>Los Keynesianos del Desequilibrio demuestran que los mercados pueden atascarse sin vaciarse.</w:t>
      </w:r>
      <w:r w:rsidRPr="00B75BEF">
        <w:rPr>
          <w:rFonts w:ascii="Palatino Linotype" w:hAnsi="Palatino Linotype"/>
        </w:rPr>
        <w:t xml:space="preserve"> Clower y Leijonhufvud argumentan que los fallos de coordinación y la falta de información impiden que los precios se ajusten instantáneamente, justificando equilibrios con exceso de oferta trabajo de forma persistente.</w:t>
      </w:r>
    </w:p>
    <w:p w14:paraId="10E8DD18"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5. COMPARATIVA DE ESCUELAS: VISIONES CONTRAPUESTAS</w:t>
      </w:r>
    </w:p>
    <w:p w14:paraId="6F9CD877" w14:textId="27A53F2F" w:rsidR="00B75BEF" w:rsidRPr="00B75BEF" w:rsidRDefault="00B75BEF" w:rsidP="00B75BEF">
      <w:pPr>
        <w:numPr>
          <w:ilvl w:val="0"/>
          <w:numId w:val="14"/>
        </w:numPr>
        <w:jc w:val="both"/>
        <w:rPr>
          <w:rFonts w:ascii="Palatino Linotype" w:hAnsi="Palatino Linotype"/>
        </w:rPr>
      </w:pPr>
      <w:r w:rsidRPr="00B75BEF">
        <w:rPr>
          <w:rFonts w:ascii="Palatino Linotype" w:hAnsi="Palatino Linotype"/>
          <w:b/>
          <w:bCs/>
        </w:rPr>
        <w:t>A corto plazo todos somos keynesianos, a largo plazo domina la visión neoclásica.</w:t>
      </w:r>
      <w:r w:rsidRPr="00B75BEF">
        <w:rPr>
          <w:rFonts w:ascii="Palatino Linotype" w:hAnsi="Palatino Linotype"/>
        </w:rPr>
        <w:t xml:space="preserve"> La Síntesis Neoclásica acepta que los precios pueden ser rígidos y la demanda relevante en el corto plazo (visión keynesiana), pero confía en que los mecanismos de mercado restaurarán el pleno empleo en el largo plazo (visión neoclásica).</w:t>
      </w:r>
    </w:p>
    <w:p w14:paraId="1AACB9C4" w14:textId="08BEA441" w:rsidR="00B75BEF" w:rsidRPr="00B75BEF" w:rsidRDefault="00B75BEF" w:rsidP="00B75BEF">
      <w:pPr>
        <w:numPr>
          <w:ilvl w:val="0"/>
          <w:numId w:val="14"/>
        </w:numPr>
        <w:ind w:left="1416" w:hanging="1056"/>
        <w:jc w:val="both"/>
        <w:rPr>
          <w:rFonts w:ascii="Palatino Linotype" w:hAnsi="Palatino Linotype"/>
        </w:rPr>
      </w:pPr>
      <w:r w:rsidRPr="00B75BEF">
        <w:rPr>
          <w:rFonts w:ascii="Palatino Linotype" w:hAnsi="Palatino Linotype"/>
          <w:b/>
          <w:bCs/>
        </w:rPr>
        <w:t>La eficiencia del mercado contra la necesidad de intervención estatal.</w:t>
      </w:r>
      <w:r w:rsidRPr="00B75BEF">
        <w:rPr>
          <w:rFonts w:ascii="Palatino Linotype" w:hAnsi="Palatino Linotype"/>
        </w:rPr>
        <w:t xml:space="preserve"> Mientras que el enfoque neoclásico aboga por el </w:t>
      </w:r>
      <w:r w:rsidRPr="00B75BEF">
        <w:rPr>
          <w:rFonts w:ascii="Palatino Linotype" w:hAnsi="Palatino Linotype"/>
          <w:i/>
          <w:iCs/>
        </w:rPr>
        <w:t>laissez-faire</w:t>
      </w:r>
      <w:r w:rsidRPr="00B75BEF">
        <w:rPr>
          <w:rFonts w:ascii="Palatino Linotype" w:hAnsi="Palatino Linotype"/>
        </w:rPr>
        <w:t xml:space="preserve"> y políticas de oferta, el keynesianismo defiende la política fiscal activa como "volante" necesario para estabilizar una economía intrínsecamente inestable.</w:t>
      </w:r>
    </w:p>
    <w:p w14:paraId="6F5F5790" w14:textId="77777777" w:rsidR="00B75BEF" w:rsidRPr="00B75BEF" w:rsidRDefault="00B75BEF" w:rsidP="00B75BEF">
      <w:pPr>
        <w:jc w:val="both"/>
        <w:rPr>
          <w:rFonts w:ascii="Palatino Linotype" w:hAnsi="Palatino Linotype"/>
          <w:b/>
          <w:bCs/>
        </w:rPr>
      </w:pPr>
      <w:r w:rsidRPr="00B75BEF">
        <w:rPr>
          <w:rFonts w:ascii="Palatino Linotype" w:hAnsi="Palatino Linotype"/>
          <w:b/>
          <w:bCs/>
        </w:rPr>
        <w:t>6. EVOLUCIÓN RECIENTE: HACIA LA NUEVA SÍNTESIS</w:t>
      </w:r>
    </w:p>
    <w:p w14:paraId="52B0FB76" w14:textId="15CA5DBB" w:rsidR="00B75BEF" w:rsidRPr="00B75BEF" w:rsidRDefault="00B75BEF" w:rsidP="00B75BEF">
      <w:pPr>
        <w:numPr>
          <w:ilvl w:val="0"/>
          <w:numId w:val="15"/>
        </w:numPr>
        <w:jc w:val="both"/>
        <w:rPr>
          <w:rFonts w:ascii="Palatino Linotype" w:hAnsi="Palatino Linotype"/>
        </w:rPr>
      </w:pPr>
      <w:r w:rsidRPr="00B75BEF">
        <w:rPr>
          <w:rFonts w:ascii="Palatino Linotype" w:hAnsi="Palatino Linotype"/>
          <w:b/>
          <w:bCs/>
        </w:rPr>
        <w:lastRenderedPageBreak/>
        <w:t>Las Expectativas Racionales de Lucas obligan a repensar la macroeconomía desde sus cimientos.</w:t>
      </w:r>
      <w:r w:rsidRPr="00B75BEF">
        <w:rPr>
          <w:rFonts w:ascii="Palatino Linotype" w:hAnsi="Palatino Linotype"/>
        </w:rPr>
        <w:t xml:space="preserve"> La Nueva Macroeconomía Clásica sostiene </w:t>
      </w:r>
      <w:proofErr w:type="gramStart"/>
      <w:r w:rsidRPr="00B75BEF">
        <w:rPr>
          <w:rFonts w:ascii="Palatino Linotype" w:hAnsi="Palatino Linotype"/>
        </w:rPr>
        <w:t>que</w:t>
      </w:r>
      <w:proofErr w:type="gramEnd"/>
      <w:r w:rsidRPr="00B75BEF">
        <w:rPr>
          <w:rFonts w:ascii="Palatino Linotype" w:hAnsi="Palatino Linotype"/>
        </w:rPr>
        <w:t xml:space="preserve"> si los agentes usan toda la información disponible, la política económica sistemática será ineficaz porque los ciudadanos anticiparán sus efectos.</w:t>
      </w:r>
    </w:p>
    <w:p w14:paraId="6AABBCB9" w14:textId="77777777" w:rsidR="00B75BEF" w:rsidRPr="00B75BEF" w:rsidRDefault="00B75BEF" w:rsidP="00B75BEF">
      <w:pPr>
        <w:numPr>
          <w:ilvl w:val="0"/>
          <w:numId w:val="15"/>
        </w:numPr>
        <w:jc w:val="both"/>
        <w:rPr>
          <w:rFonts w:ascii="Palatino Linotype" w:hAnsi="Palatino Linotype"/>
        </w:rPr>
      </w:pPr>
      <w:r w:rsidRPr="00B75BEF">
        <w:rPr>
          <w:rFonts w:ascii="Palatino Linotype" w:hAnsi="Palatino Linotype"/>
          <w:b/>
          <w:bCs/>
        </w:rPr>
        <w:t xml:space="preserve">La Nueva Economía Keynesiana busca </w:t>
      </w:r>
      <w:proofErr w:type="spellStart"/>
      <w:r w:rsidRPr="00B75BEF">
        <w:rPr>
          <w:rFonts w:ascii="Palatino Linotype" w:hAnsi="Palatino Linotype"/>
          <w:b/>
          <w:bCs/>
        </w:rPr>
        <w:t>microfundamentos</w:t>
      </w:r>
      <w:proofErr w:type="spellEnd"/>
      <w:r w:rsidRPr="00B75BEF">
        <w:rPr>
          <w:rFonts w:ascii="Palatino Linotype" w:hAnsi="Palatino Linotype"/>
          <w:b/>
          <w:bCs/>
        </w:rPr>
        <w:t xml:space="preserve"> para las rigideces de precios.</w:t>
      </w:r>
      <w:r w:rsidRPr="00B75BEF">
        <w:rPr>
          <w:rFonts w:ascii="Palatino Linotype" w:hAnsi="Palatino Linotype"/>
        </w:rPr>
        <w:t xml:space="preserve"> A través de conceptos como los "costes de menú" o los salarios de eficiencia, estos autores explican matemáticamente por qué los precios no bajan instantáneamente ante una crisis, recuperando la validez de la intervención pública</w:t>
      </w:r>
    </w:p>
    <w:p w14:paraId="247AEA4C" w14:textId="77777777" w:rsidR="00A65383" w:rsidRPr="00A266CC" w:rsidRDefault="00A65383" w:rsidP="00A266CC">
      <w:pPr>
        <w:jc w:val="both"/>
        <w:rPr>
          <w:rFonts w:ascii="Palatino Linotype" w:hAnsi="Palatino Linotype"/>
        </w:rPr>
      </w:pPr>
    </w:p>
    <w:sectPr w:rsidR="00A65383" w:rsidRPr="00A266CC">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5D17F" w14:textId="77777777" w:rsidR="00A266CC" w:rsidRDefault="00A266CC" w:rsidP="00A266CC">
      <w:pPr>
        <w:spacing w:after="0" w:line="240" w:lineRule="auto"/>
      </w:pPr>
      <w:r>
        <w:separator/>
      </w:r>
    </w:p>
  </w:endnote>
  <w:endnote w:type="continuationSeparator" w:id="0">
    <w:p w14:paraId="73DE414E" w14:textId="77777777" w:rsidR="00A266CC" w:rsidRDefault="00A266CC" w:rsidP="00A26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2AF77" w14:textId="77777777" w:rsidR="00A266CC" w:rsidRDefault="00A266CC" w:rsidP="00A266CC">
      <w:pPr>
        <w:spacing w:after="0" w:line="240" w:lineRule="auto"/>
      </w:pPr>
      <w:r>
        <w:separator/>
      </w:r>
    </w:p>
  </w:footnote>
  <w:footnote w:type="continuationSeparator" w:id="0">
    <w:p w14:paraId="1163CC47" w14:textId="77777777" w:rsidR="00A266CC" w:rsidRDefault="00A266CC" w:rsidP="00A26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E9308" w14:textId="088CD91E" w:rsidR="00A266CC" w:rsidRPr="00A266CC" w:rsidRDefault="00A266CC" w:rsidP="00A266CC">
    <w:pPr>
      <w:pStyle w:val="Encabezado"/>
      <w:jc w:val="both"/>
      <w:rPr>
        <w:rFonts w:ascii="Palatino Linotype" w:hAnsi="Palatino Linotype"/>
        <w:i/>
        <w:iCs/>
      </w:rPr>
    </w:pPr>
    <w:r w:rsidRPr="00A266CC">
      <w:rPr>
        <w:rFonts w:ascii="Palatino Linotype" w:hAnsi="Palatino Linotype"/>
        <w:b/>
        <w:bCs/>
        <w:i/>
        <w:iCs/>
      </w:rPr>
      <w:t>TEMA 2 -</w:t>
    </w:r>
    <w:r w:rsidRPr="00A266CC">
      <w:rPr>
        <w:rFonts w:ascii="Palatino Linotype" w:hAnsi="Palatino Linotype"/>
        <w:i/>
        <w:iCs/>
      </w:rPr>
      <w:t xml:space="preserve"> Evolución del pensamiento económico. Economistas neoclásicos. Keynes hasta la actualidad.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4D71C1"/>
    <w:multiLevelType w:val="multilevel"/>
    <w:tmpl w:val="93C8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61A53"/>
    <w:multiLevelType w:val="multilevel"/>
    <w:tmpl w:val="20887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C22638"/>
    <w:multiLevelType w:val="multilevel"/>
    <w:tmpl w:val="E546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923D9A"/>
    <w:multiLevelType w:val="multilevel"/>
    <w:tmpl w:val="D96E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801431"/>
    <w:multiLevelType w:val="multilevel"/>
    <w:tmpl w:val="87F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46E2F"/>
    <w:multiLevelType w:val="multilevel"/>
    <w:tmpl w:val="977C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AC27E3"/>
    <w:multiLevelType w:val="multilevel"/>
    <w:tmpl w:val="C508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676478"/>
    <w:multiLevelType w:val="multilevel"/>
    <w:tmpl w:val="4C2C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A97565"/>
    <w:multiLevelType w:val="multilevel"/>
    <w:tmpl w:val="DB168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3C1DFF"/>
    <w:multiLevelType w:val="multilevel"/>
    <w:tmpl w:val="0E9E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101D7E"/>
    <w:multiLevelType w:val="multilevel"/>
    <w:tmpl w:val="56B4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2377DC"/>
    <w:multiLevelType w:val="multilevel"/>
    <w:tmpl w:val="56B4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786C60"/>
    <w:multiLevelType w:val="multilevel"/>
    <w:tmpl w:val="B5C4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807D7F"/>
    <w:multiLevelType w:val="multilevel"/>
    <w:tmpl w:val="A716A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F10661"/>
    <w:multiLevelType w:val="multilevel"/>
    <w:tmpl w:val="F2EC0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820352">
    <w:abstractNumId w:val="3"/>
  </w:num>
  <w:num w:numId="2" w16cid:durableId="777145481">
    <w:abstractNumId w:val="4"/>
  </w:num>
  <w:num w:numId="3" w16cid:durableId="790781280">
    <w:abstractNumId w:val="10"/>
  </w:num>
  <w:num w:numId="4" w16cid:durableId="2012904982">
    <w:abstractNumId w:val="13"/>
  </w:num>
  <w:num w:numId="5" w16cid:durableId="853612145">
    <w:abstractNumId w:val="6"/>
  </w:num>
  <w:num w:numId="6" w16cid:durableId="1055737083">
    <w:abstractNumId w:val="1"/>
  </w:num>
  <w:num w:numId="7" w16cid:durableId="2006666751">
    <w:abstractNumId w:val="11"/>
  </w:num>
  <w:num w:numId="8" w16cid:durableId="37437449">
    <w:abstractNumId w:val="5"/>
  </w:num>
  <w:num w:numId="9" w16cid:durableId="1991671051">
    <w:abstractNumId w:val="7"/>
  </w:num>
  <w:num w:numId="10" w16cid:durableId="533349206">
    <w:abstractNumId w:val="8"/>
  </w:num>
  <w:num w:numId="11" w16cid:durableId="1221404329">
    <w:abstractNumId w:val="14"/>
  </w:num>
  <w:num w:numId="12" w16cid:durableId="1672755795">
    <w:abstractNumId w:val="9"/>
  </w:num>
  <w:num w:numId="13" w16cid:durableId="1381176051">
    <w:abstractNumId w:val="2"/>
  </w:num>
  <w:num w:numId="14" w16cid:durableId="1215235528">
    <w:abstractNumId w:val="0"/>
  </w:num>
  <w:num w:numId="15" w16cid:durableId="141932463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6CC"/>
    <w:rsid w:val="004B183E"/>
    <w:rsid w:val="005803BC"/>
    <w:rsid w:val="0062674A"/>
    <w:rsid w:val="008434CB"/>
    <w:rsid w:val="00A266CC"/>
    <w:rsid w:val="00A65383"/>
    <w:rsid w:val="00A8675C"/>
    <w:rsid w:val="00B75BEF"/>
    <w:rsid w:val="00C12CFD"/>
    <w:rsid w:val="00F538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9EF98"/>
  <w15:chartTrackingRefBased/>
  <w15:docId w15:val="{263803D7-A3B5-49A1-A703-CF35B0764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266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266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266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266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266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266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266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266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266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8675C"/>
    <w:pPr>
      <w:ind w:left="720"/>
      <w:contextualSpacing/>
    </w:pPr>
  </w:style>
  <w:style w:type="character" w:customStyle="1" w:styleId="Ttulo1Car">
    <w:name w:val="Título 1 Car"/>
    <w:basedOn w:val="Fuentedeprrafopredeter"/>
    <w:link w:val="Ttulo1"/>
    <w:uiPriority w:val="9"/>
    <w:rsid w:val="00A266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266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266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266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266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266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266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266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266CC"/>
    <w:rPr>
      <w:rFonts w:eastAsiaTheme="majorEastAsia" w:cstheme="majorBidi"/>
      <w:color w:val="272727" w:themeColor="text1" w:themeTint="D8"/>
    </w:rPr>
  </w:style>
  <w:style w:type="paragraph" w:styleId="Ttulo">
    <w:name w:val="Title"/>
    <w:basedOn w:val="Normal"/>
    <w:next w:val="Normal"/>
    <w:link w:val="TtuloCar"/>
    <w:uiPriority w:val="10"/>
    <w:qFormat/>
    <w:rsid w:val="00A266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66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266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266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266CC"/>
    <w:pPr>
      <w:spacing w:before="160"/>
      <w:jc w:val="center"/>
    </w:pPr>
    <w:rPr>
      <w:i/>
      <w:iCs/>
      <w:color w:val="404040" w:themeColor="text1" w:themeTint="BF"/>
    </w:rPr>
  </w:style>
  <w:style w:type="character" w:customStyle="1" w:styleId="CitaCar">
    <w:name w:val="Cita Car"/>
    <w:basedOn w:val="Fuentedeprrafopredeter"/>
    <w:link w:val="Cita"/>
    <w:uiPriority w:val="29"/>
    <w:rsid w:val="00A266CC"/>
    <w:rPr>
      <w:i/>
      <w:iCs/>
      <w:color w:val="404040" w:themeColor="text1" w:themeTint="BF"/>
    </w:rPr>
  </w:style>
  <w:style w:type="character" w:styleId="nfasisintenso">
    <w:name w:val="Intense Emphasis"/>
    <w:basedOn w:val="Fuentedeprrafopredeter"/>
    <w:uiPriority w:val="21"/>
    <w:qFormat/>
    <w:rsid w:val="00A266CC"/>
    <w:rPr>
      <w:i/>
      <w:iCs/>
      <w:color w:val="0F4761" w:themeColor="accent1" w:themeShade="BF"/>
    </w:rPr>
  </w:style>
  <w:style w:type="paragraph" w:styleId="Citadestacada">
    <w:name w:val="Intense Quote"/>
    <w:basedOn w:val="Normal"/>
    <w:next w:val="Normal"/>
    <w:link w:val="CitadestacadaCar"/>
    <w:uiPriority w:val="30"/>
    <w:qFormat/>
    <w:rsid w:val="00A266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266CC"/>
    <w:rPr>
      <w:i/>
      <w:iCs/>
      <w:color w:val="0F4761" w:themeColor="accent1" w:themeShade="BF"/>
    </w:rPr>
  </w:style>
  <w:style w:type="character" w:styleId="Referenciaintensa">
    <w:name w:val="Intense Reference"/>
    <w:basedOn w:val="Fuentedeprrafopredeter"/>
    <w:uiPriority w:val="32"/>
    <w:qFormat/>
    <w:rsid w:val="00A266CC"/>
    <w:rPr>
      <w:b/>
      <w:bCs/>
      <w:smallCaps/>
      <w:color w:val="0F4761" w:themeColor="accent1" w:themeShade="BF"/>
      <w:spacing w:val="5"/>
    </w:rPr>
  </w:style>
  <w:style w:type="paragraph" w:styleId="Encabezado">
    <w:name w:val="header"/>
    <w:basedOn w:val="Normal"/>
    <w:link w:val="EncabezadoCar"/>
    <w:uiPriority w:val="99"/>
    <w:unhideWhenUsed/>
    <w:rsid w:val="00A26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266CC"/>
  </w:style>
  <w:style w:type="paragraph" w:styleId="Piedepgina">
    <w:name w:val="footer"/>
    <w:basedOn w:val="Normal"/>
    <w:link w:val="PiedepginaCar"/>
    <w:uiPriority w:val="99"/>
    <w:unhideWhenUsed/>
    <w:rsid w:val="00A26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266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4</Pages>
  <Words>932</Words>
  <Characters>5570</Characters>
  <Application>Microsoft Office Word</Application>
  <DocSecurity>0</DocSecurity>
  <Lines>150</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Argudo Santiago, Sergio</dc:creator>
  <cp:keywords/>
  <dc:description/>
  <cp:lastModifiedBy>Argudo Santiago, Sergio</cp:lastModifiedBy>
  <cp:revision>2</cp:revision>
  <dcterms:created xsi:type="dcterms:W3CDTF">2026-01-07T14:44:00Z</dcterms:created>
  <dcterms:modified xsi:type="dcterms:W3CDTF">2026-01-19T14:19:00Z</dcterms:modified>
</cp:coreProperties>
</file>