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0EC61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1. INTRODUCCIÓN Y MARCO NORMATIVO</w:t>
      </w:r>
    </w:p>
    <w:p w14:paraId="4DE93FAC" w14:textId="2C6537FD" w:rsidR="00BB681E" w:rsidRPr="0092458E" w:rsidRDefault="00BB681E" w:rsidP="0092458E">
      <w:pPr>
        <w:numPr>
          <w:ilvl w:val="0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Fundamento Constitucional:</w:t>
      </w:r>
      <w:r w:rsidRPr="0092458E">
        <w:rPr>
          <w:rFonts w:ascii="Cambria" w:hAnsi="Cambria"/>
        </w:rPr>
        <w:t xml:space="preserve"> El Artículo 38 de la Constitución Española de 1978 reconoce la libertad de empresa en una economía de mercado, garantizada por los poderes públicos.</w:t>
      </w:r>
    </w:p>
    <w:p w14:paraId="083C7BD6" w14:textId="4A1B4D57" w:rsidR="00BB681E" w:rsidRPr="0092458E" w:rsidRDefault="00BB681E" w:rsidP="0092458E">
      <w:pPr>
        <w:numPr>
          <w:ilvl w:val="0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Justificación Económica:</w:t>
      </w:r>
      <w:r w:rsidRPr="0092458E">
        <w:rPr>
          <w:rFonts w:ascii="Cambria" w:hAnsi="Cambria"/>
        </w:rPr>
        <w:t xml:space="preserve"> La competencia efectiva disciplina la actuación empresarial, reasigna recursos eficientemente y beneficia al consumidor con menores precios, mayor variedad y calidad, fomentando la innovación y el empleo.</w:t>
      </w:r>
    </w:p>
    <w:p w14:paraId="136765C3" w14:textId="187F7F42" w:rsidR="00BB681E" w:rsidRPr="0092458E" w:rsidRDefault="00BB681E" w:rsidP="0092458E">
      <w:pPr>
        <w:numPr>
          <w:ilvl w:val="0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Marco Jurídico Comunitario:</w:t>
      </w:r>
      <w:r w:rsidRPr="0092458E">
        <w:rPr>
          <w:rFonts w:ascii="Cambria" w:hAnsi="Cambria"/>
        </w:rPr>
        <w:t xml:space="preserve"> Basado en los Artículos 101 a 109 del Tratado de Funcionamiento de la Unión Europea (TFUE) y el Protocolo n.º 27 sobre Mercado Interior.</w:t>
      </w:r>
    </w:p>
    <w:p w14:paraId="00B792FB" w14:textId="2868548F" w:rsidR="00BB681E" w:rsidRPr="0092458E" w:rsidRDefault="00BB681E" w:rsidP="0092458E">
      <w:pPr>
        <w:numPr>
          <w:ilvl w:val="0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Normativa Nacional:</w:t>
      </w:r>
      <w:r w:rsidRPr="0092458E">
        <w:rPr>
          <w:rFonts w:ascii="Cambria" w:hAnsi="Cambria"/>
        </w:rPr>
        <w:t xml:space="preserve"> Ley 15/2007 de Defensa de la </w:t>
      </w:r>
      <w:r w:rsidR="0092458E" w:rsidRPr="0092458E">
        <w:rPr>
          <w:rFonts w:ascii="Cambria" w:hAnsi="Cambria"/>
        </w:rPr>
        <w:t>Competencia,</w:t>
      </w:r>
      <w:r w:rsidRPr="0092458E">
        <w:rPr>
          <w:rFonts w:ascii="Cambria" w:hAnsi="Cambria"/>
        </w:rPr>
        <w:t xml:space="preserve"> inspirada en las normas comunitarias.</w:t>
      </w:r>
    </w:p>
    <w:p w14:paraId="1D8E4FF2" w14:textId="27569CE2" w:rsidR="00BB681E" w:rsidRPr="0092458E" w:rsidRDefault="00BB681E" w:rsidP="0092458E">
      <w:pPr>
        <w:numPr>
          <w:ilvl w:val="0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Instituciones Competentes:</w:t>
      </w:r>
    </w:p>
    <w:p w14:paraId="779DC98F" w14:textId="1C3011A8" w:rsidR="00BB681E" w:rsidRPr="0092458E" w:rsidRDefault="00BB681E" w:rsidP="0092458E">
      <w:pPr>
        <w:numPr>
          <w:ilvl w:val="1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CNMC.</w:t>
      </w:r>
    </w:p>
    <w:p w14:paraId="7B4A65B3" w14:textId="77777777" w:rsidR="00BB681E" w:rsidRPr="0092458E" w:rsidRDefault="00BB681E" w:rsidP="0092458E">
      <w:pPr>
        <w:numPr>
          <w:ilvl w:val="1"/>
          <w:numId w:val="1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Organismos Autonómicos de Defensa de la Competencia.</w:t>
      </w:r>
    </w:p>
    <w:p w14:paraId="702C7817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2. CONDUCTAS COLUSORIAS (ARTÍCULO 1 LDC)</w:t>
      </w:r>
    </w:p>
    <w:p w14:paraId="148C7CEE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2.1. Definición: </w:t>
      </w:r>
    </w:p>
    <w:p w14:paraId="7507F221" w14:textId="79217B84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Acuerdos o prácticas concertadas que impidan, restrinjan o falseen la competencia en todo o parte del mercado nacional.</w:t>
      </w:r>
    </w:p>
    <w:p w14:paraId="4CE0CBDB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2.2. Tipologías Ejemplificativas:</w:t>
      </w:r>
    </w:p>
    <w:p w14:paraId="66F971BD" w14:textId="77777777" w:rsidR="00BB681E" w:rsidRPr="0092458E" w:rsidRDefault="00BB681E" w:rsidP="0092458E">
      <w:pPr>
        <w:numPr>
          <w:ilvl w:val="1"/>
          <w:numId w:val="2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Fijación de precios directa o indirecta.</w:t>
      </w:r>
    </w:p>
    <w:p w14:paraId="0A8D500E" w14:textId="77777777" w:rsidR="00BB681E" w:rsidRPr="0092458E" w:rsidRDefault="00BB681E" w:rsidP="0092458E">
      <w:pPr>
        <w:numPr>
          <w:ilvl w:val="1"/>
          <w:numId w:val="2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Limitación o control de producción, distribución, desarrollo técnico o inversiones.</w:t>
      </w:r>
    </w:p>
    <w:p w14:paraId="6A44EE3E" w14:textId="77777777" w:rsidR="00BB681E" w:rsidRPr="0092458E" w:rsidRDefault="00BB681E" w:rsidP="0092458E">
      <w:pPr>
        <w:numPr>
          <w:ilvl w:val="1"/>
          <w:numId w:val="2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Reparto del mercado o fuentes de aprovisionamiento.</w:t>
      </w:r>
    </w:p>
    <w:p w14:paraId="7174B376" w14:textId="77777777" w:rsidR="00BB681E" w:rsidRPr="0092458E" w:rsidRDefault="00BB681E" w:rsidP="0092458E">
      <w:pPr>
        <w:numPr>
          <w:ilvl w:val="1"/>
          <w:numId w:val="2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Aplicación de condiciones desiguales para prestaciones equivalentes.</w:t>
      </w:r>
    </w:p>
    <w:p w14:paraId="2515A823" w14:textId="77777777" w:rsidR="00BB681E" w:rsidRPr="0092458E" w:rsidRDefault="00BB681E" w:rsidP="0092458E">
      <w:pPr>
        <w:numPr>
          <w:ilvl w:val="1"/>
          <w:numId w:val="2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Subordinación de contratos a prestaciones suplementarias ajenas al objeto del contrato.</w:t>
      </w:r>
    </w:p>
    <w:p w14:paraId="1E17DB5B" w14:textId="77777777" w:rsidR="00BB681E" w:rsidRPr="0092458E" w:rsidRDefault="00BB681E" w:rsidP="0092458E">
      <w:pPr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</w:p>
    <w:p w14:paraId="7F286734" w14:textId="77777777" w:rsidR="00BB681E" w:rsidRPr="0092458E" w:rsidRDefault="00BB681E" w:rsidP="0092458E">
      <w:pPr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</w:p>
    <w:p w14:paraId="4ADFFA57" w14:textId="1446E769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lastRenderedPageBreak/>
        <w:t>2.3. Acuerdos Horizontales (Empresas del mismo nivel):</w:t>
      </w:r>
    </w:p>
    <w:p w14:paraId="0D93BB38" w14:textId="77777777" w:rsidR="00BB681E" w:rsidRPr="0092458E" w:rsidRDefault="00BB681E" w:rsidP="0092458E">
      <w:pPr>
        <w:numPr>
          <w:ilvl w:val="1"/>
          <w:numId w:val="3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Lícitos:</w:t>
      </w:r>
      <w:r w:rsidRPr="0092458E">
        <w:rPr>
          <w:rFonts w:ascii="Cambria" w:hAnsi="Cambria"/>
        </w:rPr>
        <w:t xml:space="preserve"> Cooperaciones entre no competidores o que no pueden realizar el proyecto solas.</w:t>
      </w:r>
    </w:p>
    <w:p w14:paraId="7781FE20" w14:textId="77777777" w:rsidR="00BB681E" w:rsidRPr="0092458E" w:rsidRDefault="00BB681E" w:rsidP="0092458E">
      <w:pPr>
        <w:numPr>
          <w:ilvl w:val="1"/>
          <w:numId w:val="3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Ilícitos:</w:t>
      </w:r>
      <w:r w:rsidRPr="0092458E">
        <w:rPr>
          <w:rFonts w:ascii="Cambria" w:hAnsi="Cambria"/>
        </w:rPr>
        <w:t xml:space="preserve"> Acuerdos para fijar precios, limitar producción o repartir mercados.</w:t>
      </w:r>
    </w:p>
    <w:p w14:paraId="50FF06F6" w14:textId="77777777" w:rsidR="00BB681E" w:rsidRPr="0092458E" w:rsidRDefault="00BB681E" w:rsidP="0092458E">
      <w:pPr>
        <w:numPr>
          <w:ilvl w:val="1"/>
          <w:numId w:val="3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Tipos comunes:</w:t>
      </w:r>
      <w:r w:rsidRPr="0092458E">
        <w:rPr>
          <w:rFonts w:ascii="Cambria" w:hAnsi="Cambria"/>
        </w:rPr>
        <w:t xml:space="preserve"> I+D+i, producción (conjunta, especialización, subcontratación), compra, comercialización, normalización y medioambientales.</w:t>
      </w:r>
    </w:p>
    <w:p w14:paraId="62BAF696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2.4. Acuerdos Verticales (Niveles distintos de la cadena):</w:t>
      </w:r>
    </w:p>
    <w:p w14:paraId="3992D5EC" w14:textId="3147DC41" w:rsidR="00BB681E" w:rsidRPr="0092458E" w:rsidRDefault="00BB681E" w:rsidP="0092458E">
      <w:pPr>
        <w:numPr>
          <w:ilvl w:val="1"/>
          <w:numId w:val="4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Normativa:</w:t>
      </w:r>
      <w:r w:rsidRPr="0092458E">
        <w:rPr>
          <w:rFonts w:ascii="Cambria" w:hAnsi="Cambria"/>
        </w:rPr>
        <w:t xml:space="preserve"> Actualmente regidos por el Reglamento (UE) 2022/720</w:t>
      </w:r>
      <w:r w:rsidR="00B224A3">
        <w:rPr>
          <w:rFonts w:ascii="Cambria" w:hAnsi="Cambria"/>
        </w:rPr>
        <w:t>.</w:t>
      </w:r>
    </w:p>
    <w:p w14:paraId="51259B1F" w14:textId="77777777" w:rsidR="00BB681E" w:rsidRPr="0092458E" w:rsidRDefault="00BB681E" w:rsidP="0092458E">
      <w:pPr>
        <w:numPr>
          <w:ilvl w:val="1"/>
          <w:numId w:val="4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Riesgos:</w:t>
      </w:r>
      <w:r w:rsidRPr="0092458E">
        <w:rPr>
          <w:rFonts w:ascii="Cambria" w:hAnsi="Cambria"/>
        </w:rPr>
        <w:t xml:space="preserve"> Exclusión de terceros, reducción de competencia intermarca e intramarca.</w:t>
      </w:r>
    </w:p>
    <w:p w14:paraId="2ABCCCAE" w14:textId="77777777" w:rsidR="00BB681E" w:rsidRPr="0092458E" w:rsidRDefault="00BB681E" w:rsidP="0092458E">
      <w:pPr>
        <w:numPr>
          <w:ilvl w:val="1"/>
          <w:numId w:val="4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Restricciones comunes:</w:t>
      </w:r>
      <w:r w:rsidRPr="0092458E">
        <w:rPr>
          <w:rFonts w:ascii="Cambria" w:hAnsi="Cambria"/>
        </w:rPr>
        <w:t xml:space="preserve"> Marca única, distribución exclusiva, exclusividad de clientela, suministro exclusivo y precios de venta recomendados/máximos.</w:t>
      </w:r>
    </w:p>
    <w:p w14:paraId="2804EF93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3. ABUSO DE POSICIÓN DE DOMINIO (ARTÍCULO 2 LDC)</w:t>
      </w:r>
    </w:p>
    <w:p w14:paraId="5884E6A9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3.1. Concepto: </w:t>
      </w:r>
    </w:p>
    <w:p w14:paraId="6067B55D" w14:textId="66800677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Explotación abusiva por una o varias empresas de su dominio en el mercado. No se sanciona la posición en sí, sino su uso para restringir la competencia.</w:t>
      </w:r>
    </w:p>
    <w:p w14:paraId="05A59E42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3.2. Conductas Abusivas:</w:t>
      </w:r>
    </w:p>
    <w:p w14:paraId="3DB50BEA" w14:textId="77777777" w:rsidR="00BB681E" w:rsidRPr="0092458E" w:rsidRDefault="00BB681E" w:rsidP="0092458E">
      <w:pPr>
        <w:numPr>
          <w:ilvl w:val="1"/>
          <w:numId w:val="5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Imposición de precios o condiciones no equitativas.</w:t>
      </w:r>
    </w:p>
    <w:p w14:paraId="6596E3DA" w14:textId="77777777" w:rsidR="00BB681E" w:rsidRPr="0092458E" w:rsidRDefault="00BB681E" w:rsidP="0092458E">
      <w:pPr>
        <w:numPr>
          <w:ilvl w:val="1"/>
          <w:numId w:val="5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Limitación de producción o distribución en perjuicio de consumidores.</w:t>
      </w:r>
    </w:p>
    <w:p w14:paraId="68B005D9" w14:textId="77777777" w:rsidR="00BB681E" w:rsidRPr="0092458E" w:rsidRDefault="00BB681E" w:rsidP="0092458E">
      <w:pPr>
        <w:numPr>
          <w:ilvl w:val="1"/>
          <w:numId w:val="5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Negativa injustificada a satisfacer demandas de compra o servicios.</w:t>
      </w:r>
    </w:p>
    <w:p w14:paraId="43DD4600" w14:textId="77777777" w:rsidR="00BB681E" w:rsidRPr="0092458E" w:rsidRDefault="00BB681E" w:rsidP="0092458E">
      <w:pPr>
        <w:numPr>
          <w:ilvl w:val="1"/>
          <w:numId w:val="5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Discriminación de competidores con condiciones desiguales.</w:t>
      </w:r>
    </w:p>
    <w:p w14:paraId="1AD3449F" w14:textId="77777777" w:rsidR="00BB681E" w:rsidRPr="0092458E" w:rsidRDefault="00BB681E" w:rsidP="0092458E">
      <w:pPr>
        <w:numPr>
          <w:ilvl w:val="1"/>
          <w:numId w:val="5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Contratos vinculados a prestaciones suplementarias no relacionadas.</w:t>
      </w:r>
    </w:p>
    <w:p w14:paraId="35FC3A57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4. CONDUCTAS EXENTAS</w:t>
      </w:r>
    </w:p>
    <w:p w14:paraId="08B2258C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4.1. Exención Legal (Art. 1.3 LDC): </w:t>
      </w:r>
    </w:p>
    <w:p w14:paraId="2856E663" w14:textId="4E6EB8BE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Acuerdos que mejoran producción/distribución o progreso técnico, siempre que:</w:t>
      </w:r>
    </w:p>
    <w:p w14:paraId="28D12215" w14:textId="77777777" w:rsidR="00BB681E" w:rsidRPr="0092458E" w:rsidRDefault="00BB681E" w:rsidP="0092458E">
      <w:pPr>
        <w:numPr>
          <w:ilvl w:val="1"/>
          <w:numId w:val="6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Beneficien equitativamente a los usuarios.</w:t>
      </w:r>
    </w:p>
    <w:p w14:paraId="7A15495B" w14:textId="77777777" w:rsidR="00BB681E" w:rsidRPr="0092458E" w:rsidRDefault="00BB681E" w:rsidP="0092458E">
      <w:pPr>
        <w:numPr>
          <w:ilvl w:val="1"/>
          <w:numId w:val="6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lastRenderedPageBreak/>
        <w:t>No impongan restricciones indispensables.</w:t>
      </w:r>
    </w:p>
    <w:p w14:paraId="1DAC1E13" w14:textId="77777777" w:rsidR="00BB681E" w:rsidRPr="0092458E" w:rsidRDefault="00BB681E" w:rsidP="0092458E">
      <w:pPr>
        <w:numPr>
          <w:ilvl w:val="1"/>
          <w:numId w:val="6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No eliminen la competencia sustancial.</w:t>
      </w:r>
    </w:p>
    <w:p w14:paraId="6F0A75AC" w14:textId="1F8BE83D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4.2. Tipos de Exenciones:</w:t>
      </w:r>
    </w:p>
    <w:p w14:paraId="7F513F37" w14:textId="77777777" w:rsidR="00BB681E" w:rsidRPr="0092458E" w:rsidRDefault="00BB681E" w:rsidP="0092458E">
      <w:pPr>
        <w:numPr>
          <w:ilvl w:val="1"/>
          <w:numId w:val="7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Individuales:</w:t>
      </w:r>
      <w:r w:rsidRPr="0092458E">
        <w:rPr>
          <w:rFonts w:ascii="Cambria" w:hAnsi="Cambria"/>
        </w:rPr>
        <w:t xml:space="preserve"> Mediante autoevaluación de la empresa.</w:t>
      </w:r>
    </w:p>
    <w:p w14:paraId="6AF32B5F" w14:textId="77777777" w:rsidR="00BB681E" w:rsidRPr="0092458E" w:rsidRDefault="00BB681E" w:rsidP="0092458E">
      <w:pPr>
        <w:numPr>
          <w:ilvl w:val="1"/>
          <w:numId w:val="7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Por categoría:</w:t>
      </w:r>
      <w:r w:rsidRPr="0092458E">
        <w:rPr>
          <w:rFonts w:ascii="Cambria" w:hAnsi="Cambria"/>
        </w:rPr>
        <w:t xml:space="preserve"> Reglamentos comunitarios o Reales Decretos del Gobierno (ej. transferencia tecnológica, I+D).</w:t>
      </w:r>
    </w:p>
    <w:p w14:paraId="0DD3C83C" w14:textId="77777777" w:rsidR="00BB681E" w:rsidRPr="0092458E" w:rsidRDefault="00BB681E" w:rsidP="0092458E">
      <w:pPr>
        <w:numPr>
          <w:ilvl w:val="1"/>
          <w:numId w:val="7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De menor importancia (de minimis):</w:t>
      </w:r>
      <w:r w:rsidRPr="0092458E">
        <w:rPr>
          <w:rFonts w:ascii="Cambria" w:hAnsi="Cambria"/>
        </w:rPr>
        <w:t xml:space="preserve"> Por escasa cuota de mercado.</w:t>
      </w:r>
    </w:p>
    <w:p w14:paraId="10B56EDB" w14:textId="77777777" w:rsidR="00BB681E" w:rsidRPr="0092458E" w:rsidRDefault="00BB681E" w:rsidP="0092458E">
      <w:pPr>
        <w:numPr>
          <w:ilvl w:val="1"/>
          <w:numId w:val="7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Por Ley:</w:t>
      </w:r>
      <w:r w:rsidRPr="0092458E">
        <w:rPr>
          <w:rFonts w:ascii="Cambria" w:hAnsi="Cambria"/>
        </w:rPr>
        <w:t xml:space="preserve"> Conductas derivadas de la aplicación de una norma legal.</w:t>
      </w:r>
    </w:p>
    <w:p w14:paraId="69B8FF27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color w:val="auto"/>
          <w:sz w:val="24"/>
          <w:szCs w:val="24"/>
        </w:rPr>
        <w:t>4.3. Programa de Clemencia:</w:t>
      </w: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 </w:t>
      </w:r>
    </w:p>
    <w:p w14:paraId="1B6A7EDC" w14:textId="35571B24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Exención o reducción de multa para empresas que participen en cárteles y colaboren con la CNMC.</w:t>
      </w:r>
    </w:p>
    <w:p w14:paraId="5F917358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5. PROCEDIMIENTO SANCIONADOR</w:t>
      </w:r>
    </w:p>
    <w:p w14:paraId="6A02E45D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5.1. Fases:</w:t>
      </w:r>
    </w:p>
    <w:p w14:paraId="0BFFA51F" w14:textId="77777777" w:rsidR="00BB681E" w:rsidRPr="0092458E" w:rsidRDefault="00BB681E" w:rsidP="0092458E">
      <w:pPr>
        <w:numPr>
          <w:ilvl w:val="1"/>
          <w:numId w:val="8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Instrucción:</w:t>
      </w:r>
      <w:r w:rsidRPr="0092458E">
        <w:rPr>
          <w:rFonts w:ascii="Cambria" w:hAnsi="Cambria"/>
        </w:rPr>
        <w:t xml:space="preserve"> Iniciada de oficio por la Dirección de Investigación (iniciativa propia o denuncia). Incluye pliego de concreción de hechos (15 días para contestar).</w:t>
      </w:r>
    </w:p>
    <w:p w14:paraId="696E47DD" w14:textId="77777777" w:rsidR="00BB681E" w:rsidRPr="0092458E" w:rsidRDefault="00BB681E" w:rsidP="0092458E">
      <w:pPr>
        <w:numPr>
          <w:ilvl w:val="1"/>
          <w:numId w:val="8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Terminación convencional:</w:t>
      </w:r>
      <w:r w:rsidRPr="0092458E">
        <w:rPr>
          <w:rFonts w:ascii="Cambria" w:hAnsi="Cambria"/>
        </w:rPr>
        <w:t xml:space="preserve"> Resolución mediante compromisos propuestos por el infractor que garanticen el interés público.</w:t>
      </w:r>
    </w:p>
    <w:p w14:paraId="46C7CC91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5.2. Clasificación de Infracciones:</w:t>
      </w:r>
    </w:p>
    <w:p w14:paraId="79FFA400" w14:textId="77777777" w:rsidR="00BB681E" w:rsidRPr="0092458E" w:rsidRDefault="00BB681E" w:rsidP="0092458E">
      <w:pPr>
        <w:numPr>
          <w:ilvl w:val="1"/>
          <w:numId w:val="9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Leves:</w:t>
      </w:r>
      <w:r w:rsidRPr="0092458E">
        <w:rPr>
          <w:rFonts w:ascii="Cambria" w:hAnsi="Cambria"/>
        </w:rPr>
        <w:t xml:space="preserve"> Hasta 1% del volumen de negocios (ej. no notificar concentración).</w:t>
      </w:r>
    </w:p>
    <w:p w14:paraId="4AE9339D" w14:textId="77777777" w:rsidR="00BB681E" w:rsidRPr="0092458E" w:rsidRDefault="00BB681E" w:rsidP="0092458E">
      <w:pPr>
        <w:numPr>
          <w:ilvl w:val="1"/>
          <w:numId w:val="9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Graves:</w:t>
      </w:r>
      <w:r w:rsidRPr="0092458E">
        <w:rPr>
          <w:rFonts w:ascii="Cambria" w:hAnsi="Cambria"/>
        </w:rPr>
        <w:t xml:space="preserve"> Hasta 5% del volumen de negocios (ej. romper precintos en inspección).</w:t>
      </w:r>
    </w:p>
    <w:p w14:paraId="3B7484D9" w14:textId="7FADD59F" w:rsidR="00BB681E" w:rsidRPr="0092458E" w:rsidRDefault="00BB681E" w:rsidP="0092458E">
      <w:pPr>
        <w:numPr>
          <w:ilvl w:val="1"/>
          <w:numId w:val="9"/>
        </w:numPr>
        <w:jc w:val="both"/>
        <w:rPr>
          <w:rStyle w:val="Ttulo2Car"/>
          <w:rFonts w:ascii="Cambria" w:eastAsiaTheme="minorHAnsi" w:hAnsi="Cambria" w:cstheme="minorBidi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Muy graves: </w:t>
      </w:r>
      <w:r w:rsidRPr="0092458E">
        <w:rPr>
          <w:rStyle w:val="Ttulo2Car"/>
          <w:rFonts w:ascii="Cambria" w:hAnsi="Cambria"/>
          <w:color w:val="auto"/>
          <w:sz w:val="24"/>
          <w:szCs w:val="24"/>
        </w:rPr>
        <w:t>Hasta 10% del volumen de negocios (ej. cárteles).</w:t>
      </w:r>
    </w:p>
    <w:p w14:paraId="411FEE07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5.3. Sanciones a Personas Físicas: </w:t>
      </w:r>
    </w:p>
    <w:p w14:paraId="00195C31" w14:textId="4D794A30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Multas de hasta 60.000€ para directivos participantes.</w:t>
      </w:r>
    </w:p>
    <w:p w14:paraId="67F271BB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6. COMPETENCIA DESLEAL</w:t>
      </w:r>
    </w:p>
    <w:p w14:paraId="6E3F3F03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6.1. Marco Legal: </w:t>
      </w:r>
    </w:p>
    <w:p w14:paraId="5B01FA09" w14:textId="07D4153B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Ley 3/1991 de Competencia Desleal y Art. 3 de la Ley 15/2007.</w:t>
      </w:r>
    </w:p>
    <w:p w14:paraId="6395E08B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lastRenderedPageBreak/>
        <w:t xml:space="preserve">6.2. Criterio de Aplicación: </w:t>
      </w:r>
    </w:p>
    <w:p w14:paraId="75E21058" w14:textId="6EE508F7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 xml:space="preserve">La CNMC sanciona actos desleales solo cuando afectan al </w:t>
      </w:r>
      <w:r w:rsidRPr="0092458E">
        <w:rPr>
          <w:rFonts w:ascii="Cambria" w:hAnsi="Cambria"/>
          <w:b/>
          <w:bCs/>
        </w:rPr>
        <w:t>interés público</w:t>
      </w:r>
      <w:r w:rsidRPr="0092458E">
        <w:rPr>
          <w:rFonts w:ascii="Cambria" w:hAnsi="Cambria"/>
        </w:rPr>
        <w:t>.</w:t>
      </w:r>
    </w:p>
    <w:p w14:paraId="158A1F72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6.3. Actos tipificados: </w:t>
      </w:r>
    </w:p>
    <w:p w14:paraId="7C9A0171" w14:textId="6F2B4529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>Denigración, comparación falsa, imitación (si genera confusión), explotación de reputación ajena, violación de secretos, engaño al consumidor y venta a pérdida.</w:t>
      </w:r>
    </w:p>
    <w:p w14:paraId="3B364775" w14:textId="77777777" w:rsidR="00BB681E" w:rsidRPr="0092458E" w:rsidRDefault="00BB681E" w:rsidP="0092458E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2458E">
        <w:rPr>
          <w:rFonts w:ascii="Cambria" w:hAnsi="Cambria"/>
          <w:b/>
          <w:bCs/>
          <w:color w:val="auto"/>
          <w:sz w:val="28"/>
          <w:szCs w:val="28"/>
        </w:rPr>
        <w:t>7. DATOS Y CASUÍSTICA RECIENTE (MEMORIA 2023 CNMC)</w:t>
      </w:r>
    </w:p>
    <w:p w14:paraId="2C6033A3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7.1. Cifras de Sanciones:</w:t>
      </w:r>
    </w:p>
    <w:p w14:paraId="01A9CFC8" w14:textId="77777777" w:rsidR="00BB681E" w:rsidRPr="0092458E" w:rsidRDefault="00BB681E" w:rsidP="0092458E">
      <w:pPr>
        <w:numPr>
          <w:ilvl w:val="1"/>
          <w:numId w:val="11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2023: 204,6 M€</w:t>
      </w:r>
    </w:p>
    <w:p w14:paraId="6A94DDC8" w14:textId="77777777" w:rsidR="00BB681E" w:rsidRPr="0092458E" w:rsidRDefault="00BB681E" w:rsidP="0092458E">
      <w:pPr>
        <w:numPr>
          <w:ilvl w:val="1"/>
          <w:numId w:val="11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2022: 323,0 M€</w:t>
      </w:r>
    </w:p>
    <w:p w14:paraId="6C0D2F5A" w14:textId="77777777" w:rsidR="00BB681E" w:rsidRPr="0092458E" w:rsidRDefault="00BB681E" w:rsidP="0092458E">
      <w:pPr>
        <w:numPr>
          <w:ilvl w:val="1"/>
          <w:numId w:val="11"/>
        </w:numPr>
        <w:jc w:val="both"/>
        <w:rPr>
          <w:rFonts w:ascii="Cambria" w:hAnsi="Cambria"/>
        </w:rPr>
      </w:pPr>
      <w:r w:rsidRPr="0092458E">
        <w:rPr>
          <w:rFonts w:ascii="Cambria" w:hAnsi="Cambria"/>
        </w:rPr>
        <w:t>2015: 517,7 M€ (Máximo histórico).</w:t>
      </w:r>
    </w:p>
    <w:p w14:paraId="50DE7200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>7.2. Casos Relevantes:</w:t>
      </w:r>
    </w:p>
    <w:p w14:paraId="00C84FD5" w14:textId="77777777" w:rsidR="00BB681E" w:rsidRPr="0092458E" w:rsidRDefault="00BB681E" w:rsidP="0092458E">
      <w:pPr>
        <w:numPr>
          <w:ilvl w:val="1"/>
          <w:numId w:val="12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Construcción (2022):</w:t>
      </w:r>
      <w:r w:rsidRPr="0092458E">
        <w:rPr>
          <w:rFonts w:ascii="Cambria" w:hAnsi="Cambria"/>
        </w:rPr>
        <w:t xml:space="preserve"> 203,6 M€ a 6 constructoras por alterar licitaciones durante 25 años.</w:t>
      </w:r>
    </w:p>
    <w:p w14:paraId="1FAB4C16" w14:textId="77777777" w:rsidR="00BB681E" w:rsidRPr="0092458E" w:rsidRDefault="00BB681E" w:rsidP="0092458E">
      <w:pPr>
        <w:numPr>
          <w:ilvl w:val="1"/>
          <w:numId w:val="12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E-commerce (2023):</w:t>
      </w:r>
      <w:r w:rsidRPr="0092458E">
        <w:rPr>
          <w:rFonts w:ascii="Cambria" w:hAnsi="Cambria"/>
        </w:rPr>
        <w:t xml:space="preserve"> 194 M€ a Apple y Amazon por restringir competencia en el marketplace.</w:t>
      </w:r>
    </w:p>
    <w:p w14:paraId="0992BA31" w14:textId="77777777" w:rsidR="00BB681E" w:rsidRPr="0092458E" w:rsidRDefault="00BB681E" w:rsidP="0092458E">
      <w:pPr>
        <w:numPr>
          <w:ilvl w:val="1"/>
          <w:numId w:val="12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Servicios Turísticos (2024):</w:t>
      </w:r>
      <w:r w:rsidRPr="0092458E">
        <w:rPr>
          <w:rFonts w:ascii="Cambria" w:hAnsi="Cambria"/>
        </w:rPr>
        <w:t xml:space="preserve"> 413,24 M€ a Booking.com por abuso de posición dominante.</w:t>
      </w:r>
    </w:p>
    <w:p w14:paraId="5CFDB2BE" w14:textId="77777777" w:rsidR="00BB681E" w:rsidRPr="0092458E" w:rsidRDefault="00BB681E" w:rsidP="0092458E">
      <w:pPr>
        <w:numPr>
          <w:ilvl w:val="1"/>
          <w:numId w:val="12"/>
        </w:numPr>
        <w:jc w:val="both"/>
        <w:rPr>
          <w:rFonts w:ascii="Cambria" w:hAnsi="Cambria"/>
        </w:rPr>
      </w:pPr>
      <w:r w:rsidRPr="0092458E">
        <w:rPr>
          <w:rFonts w:ascii="Cambria" w:hAnsi="Cambria"/>
          <w:b/>
          <w:bCs/>
        </w:rPr>
        <w:t>Automóviles (2015):</w:t>
      </w:r>
      <w:r w:rsidRPr="0092458E">
        <w:rPr>
          <w:rFonts w:ascii="Cambria" w:hAnsi="Cambria"/>
        </w:rPr>
        <w:t xml:space="preserve"> 171 M€ (reducidos a 131 M€ por clemencia de Volkswagen).</w:t>
      </w:r>
    </w:p>
    <w:p w14:paraId="30D38603" w14:textId="77777777" w:rsidR="00BB681E" w:rsidRPr="0092458E" w:rsidRDefault="00BB681E" w:rsidP="0092458E">
      <w:pPr>
        <w:pStyle w:val="Ttulo2"/>
        <w:jc w:val="both"/>
        <w:rPr>
          <w:rStyle w:val="Ttulo2Car"/>
          <w:rFonts w:ascii="Cambria" w:hAnsi="Cambria"/>
          <w:b/>
          <w:bCs/>
          <w:color w:val="auto"/>
          <w:sz w:val="24"/>
          <w:szCs w:val="24"/>
        </w:rPr>
      </w:pPr>
      <w:r w:rsidRPr="0092458E">
        <w:rPr>
          <w:rStyle w:val="Ttulo2Car"/>
          <w:rFonts w:ascii="Cambria" w:hAnsi="Cambria"/>
          <w:b/>
          <w:bCs/>
          <w:color w:val="auto"/>
          <w:sz w:val="24"/>
          <w:szCs w:val="24"/>
        </w:rPr>
        <w:t xml:space="preserve">7.3. Curiosidad Internacional: </w:t>
      </w:r>
    </w:p>
    <w:p w14:paraId="0BBF096B" w14:textId="362F30E5" w:rsidR="00BB681E" w:rsidRPr="0092458E" w:rsidRDefault="00BB681E" w:rsidP="0092458E">
      <w:pPr>
        <w:jc w:val="both"/>
        <w:rPr>
          <w:rFonts w:ascii="Cambria" w:hAnsi="Cambria"/>
        </w:rPr>
      </w:pPr>
      <w:r w:rsidRPr="0092458E">
        <w:rPr>
          <w:rFonts w:ascii="Cambria" w:hAnsi="Cambria"/>
        </w:rPr>
        <w:t xml:space="preserve">El mayor cártel permitido es la </w:t>
      </w:r>
      <w:r w:rsidRPr="00E54FC8">
        <w:rPr>
          <w:rFonts w:ascii="Cambria" w:hAnsi="Cambria"/>
        </w:rPr>
        <w:t>OPEP</w:t>
      </w:r>
      <w:r w:rsidRPr="0092458E">
        <w:rPr>
          <w:rFonts w:ascii="Cambria" w:hAnsi="Cambria"/>
        </w:rPr>
        <w:t xml:space="preserve"> (12 </w:t>
      </w:r>
      <w:r w:rsidRPr="00E54FC8">
        <w:rPr>
          <w:rFonts w:ascii="Cambria" w:hAnsi="Cambria"/>
        </w:rPr>
        <w:t>países</w:t>
      </w:r>
      <w:r w:rsidRPr="0092458E">
        <w:rPr>
          <w:rFonts w:ascii="Cambria" w:hAnsi="Cambria"/>
        </w:rPr>
        <w:t xml:space="preserve"> actualmente).</w:t>
      </w:r>
    </w:p>
    <w:p w14:paraId="38E59659" w14:textId="77777777" w:rsidR="00A65383" w:rsidRPr="0092458E" w:rsidRDefault="00A65383" w:rsidP="0092458E">
      <w:pPr>
        <w:jc w:val="both"/>
        <w:rPr>
          <w:rFonts w:ascii="Cambria" w:hAnsi="Cambria"/>
        </w:rPr>
      </w:pPr>
    </w:p>
    <w:sectPr w:rsidR="00A65383" w:rsidRPr="0092458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C7A49" w14:textId="77777777" w:rsidR="00BB681E" w:rsidRDefault="00BB681E" w:rsidP="00BB681E">
      <w:pPr>
        <w:spacing w:after="0" w:line="240" w:lineRule="auto"/>
      </w:pPr>
      <w:r>
        <w:separator/>
      </w:r>
    </w:p>
  </w:endnote>
  <w:endnote w:type="continuationSeparator" w:id="0">
    <w:p w14:paraId="50C9DCB7" w14:textId="77777777" w:rsidR="00BB681E" w:rsidRDefault="00BB681E" w:rsidP="00BB6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2D4C5" w14:textId="77777777" w:rsidR="00BB681E" w:rsidRDefault="00BB681E" w:rsidP="00BB681E">
      <w:pPr>
        <w:spacing w:after="0" w:line="240" w:lineRule="auto"/>
      </w:pPr>
      <w:r>
        <w:separator/>
      </w:r>
    </w:p>
  </w:footnote>
  <w:footnote w:type="continuationSeparator" w:id="0">
    <w:p w14:paraId="1E131CBF" w14:textId="77777777" w:rsidR="00BB681E" w:rsidRDefault="00BB681E" w:rsidP="00BB68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FA38E" w14:textId="5CC3E9F4" w:rsidR="00BB681E" w:rsidRPr="00BB681E" w:rsidRDefault="00BB681E" w:rsidP="00BB681E">
    <w:pPr>
      <w:pStyle w:val="Encabezado"/>
      <w:jc w:val="both"/>
      <w:rPr>
        <w:rFonts w:ascii="Palatino Linotype" w:hAnsi="Palatino Linotype"/>
        <w:i/>
        <w:iCs/>
      </w:rPr>
    </w:pPr>
    <w:r w:rsidRPr="00BB681E">
      <w:rPr>
        <w:rFonts w:ascii="Palatino Linotype" w:hAnsi="Palatino Linotype"/>
        <w:b/>
        <w:bCs/>
        <w:i/>
        <w:iCs/>
      </w:rPr>
      <w:t>TEMA 26 -</w:t>
    </w:r>
    <w:r w:rsidRPr="00BB681E">
      <w:rPr>
        <w:rFonts w:ascii="Palatino Linotype" w:hAnsi="Palatino Linotype"/>
        <w:i/>
        <w:iCs/>
      </w:rPr>
      <w:t xml:space="preserve"> Prácticas restrictivas de la competencia. Normativa nacional. Acuerdos horizontales y acuerdos verticales. Conductas exentas. Reglamentos comunitarios de exención por categorías. Abuso de posición de dominio. Procedimiento sancionador. Competencia desleal.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94EBB"/>
    <w:multiLevelType w:val="hybridMultilevel"/>
    <w:tmpl w:val="21D0AB0C"/>
    <w:lvl w:ilvl="0" w:tplc="86500A6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8B035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1A603B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AB4EBC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626C9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188FE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99EC5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EECED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EFC22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E737B"/>
    <w:multiLevelType w:val="multilevel"/>
    <w:tmpl w:val="2052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95AC9"/>
    <w:multiLevelType w:val="multilevel"/>
    <w:tmpl w:val="3A18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BE64A7"/>
    <w:multiLevelType w:val="multilevel"/>
    <w:tmpl w:val="3DF2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42CA9"/>
    <w:multiLevelType w:val="multilevel"/>
    <w:tmpl w:val="362A7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F91AD4"/>
    <w:multiLevelType w:val="multilevel"/>
    <w:tmpl w:val="E5CC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007735"/>
    <w:multiLevelType w:val="multilevel"/>
    <w:tmpl w:val="1A2E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251FE8"/>
    <w:multiLevelType w:val="multilevel"/>
    <w:tmpl w:val="6EFE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460760">
    <w:abstractNumId w:val="2"/>
  </w:num>
  <w:num w:numId="2" w16cid:durableId="1396466939">
    <w:abstractNumId w:val="7"/>
  </w:num>
  <w:num w:numId="3" w16cid:durableId="601496068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2116705511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347174720">
    <w:abstractNumId w:val="4"/>
  </w:num>
  <w:num w:numId="6" w16cid:durableId="843280651">
    <w:abstractNumId w:val="6"/>
  </w:num>
  <w:num w:numId="7" w16cid:durableId="14308850">
    <w:abstractNumId w:val="6"/>
    <w:lvlOverride w:ilvl="1">
      <w:startOverride w:val="1"/>
    </w:lvlOverride>
  </w:num>
  <w:num w:numId="8" w16cid:durableId="1504318116">
    <w:abstractNumId w:val="1"/>
  </w:num>
  <w:num w:numId="9" w16cid:durableId="1321352793">
    <w:abstractNumId w:val="1"/>
    <w:lvlOverride w:ilvl="1">
      <w:startOverride w:val="1"/>
    </w:lvlOverride>
  </w:num>
  <w:num w:numId="10" w16cid:durableId="894200489">
    <w:abstractNumId w:val="5"/>
  </w:num>
  <w:num w:numId="11" w16cid:durableId="1372344599">
    <w:abstractNumId w:val="3"/>
  </w:num>
  <w:num w:numId="12" w16cid:durableId="1017731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81E"/>
    <w:rsid w:val="00087887"/>
    <w:rsid w:val="005803BC"/>
    <w:rsid w:val="0092458E"/>
    <w:rsid w:val="00A65383"/>
    <w:rsid w:val="00A8675C"/>
    <w:rsid w:val="00B224A3"/>
    <w:rsid w:val="00BB681E"/>
    <w:rsid w:val="00C12CFD"/>
    <w:rsid w:val="00E24AF2"/>
    <w:rsid w:val="00E54FC8"/>
    <w:rsid w:val="00EA1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B481E"/>
  <w15:chartTrackingRefBased/>
  <w15:docId w15:val="{9B5AE692-236A-4632-AB2D-FFB6F2309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B6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B6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68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6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68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6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6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6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6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B68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B68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68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68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68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68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68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68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68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B6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B6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B6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B6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B6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681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B68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B68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B68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B681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B6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B681E"/>
  </w:style>
  <w:style w:type="paragraph" w:styleId="Piedepgina">
    <w:name w:val="footer"/>
    <w:basedOn w:val="Normal"/>
    <w:link w:val="PiedepginaCar"/>
    <w:uiPriority w:val="99"/>
    <w:unhideWhenUsed/>
    <w:rsid w:val="00BB68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68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766</Words>
  <Characters>4215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2026-01-05T20:43:00Z</dcterms:created>
  <dcterms:modified xsi:type="dcterms:W3CDTF">2026-01-16T14:55:00Z</dcterms:modified>
</cp:coreProperties>
</file>