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54CA5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1. CONCENTRACIONES ECONÓMICAS</w:t>
      </w:r>
    </w:p>
    <w:p w14:paraId="511A52FF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1.1. Fundamento Jurídico y Económico</w:t>
      </w:r>
    </w:p>
    <w:p w14:paraId="79EEE08B" w14:textId="77777777" w:rsidR="005F5510" w:rsidRPr="004C148B" w:rsidRDefault="005F5510" w:rsidP="004C148B">
      <w:pPr>
        <w:numPr>
          <w:ilvl w:val="0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Base Constitucional:</w:t>
      </w:r>
      <w:r w:rsidRPr="004C148B">
        <w:rPr>
          <w:rFonts w:ascii="Cambria" w:hAnsi="Cambria"/>
        </w:rPr>
        <w:t xml:space="preserve"> El Artículo 38 de la Constitución Española reconoce la libertad de empresa en el marco de una economía de mercado y su protección por los poderes públicos.</w:t>
      </w:r>
    </w:p>
    <w:p w14:paraId="5C292184" w14:textId="77777777" w:rsidR="005F5510" w:rsidRPr="004C148B" w:rsidRDefault="005F5510" w:rsidP="004C148B">
      <w:pPr>
        <w:numPr>
          <w:ilvl w:val="0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Competencia efectiva:</w:t>
      </w:r>
      <w:r w:rsidRPr="004C148B">
        <w:rPr>
          <w:rFonts w:ascii="Cambria" w:hAnsi="Cambria"/>
        </w:rPr>
        <w:t xml:space="preserve"> Elemento esencial que disciplina a las empresas y reasigna recursos hacia los operadores más eficientes.</w:t>
      </w:r>
    </w:p>
    <w:p w14:paraId="30F7A9E2" w14:textId="77777777" w:rsidR="005F5510" w:rsidRPr="004C148B" w:rsidRDefault="005F5510" w:rsidP="004C148B">
      <w:pPr>
        <w:numPr>
          <w:ilvl w:val="1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Beneficios para el consumidor:</w:t>
      </w:r>
      <w:r w:rsidRPr="004C148B">
        <w:rPr>
          <w:rFonts w:ascii="Cambria" w:hAnsi="Cambria"/>
        </w:rPr>
        <w:t xml:space="preserve"> Menores precios, aumento de la cantidad, variedad y calidad de los productos.</w:t>
      </w:r>
    </w:p>
    <w:p w14:paraId="283D1048" w14:textId="77777777" w:rsidR="005F5510" w:rsidRPr="004C148B" w:rsidRDefault="005F5510" w:rsidP="004C148B">
      <w:pPr>
        <w:numPr>
          <w:ilvl w:val="1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Beneficios económicos:</w:t>
      </w:r>
      <w:r w:rsidRPr="004C148B">
        <w:rPr>
          <w:rFonts w:ascii="Cambria" w:hAnsi="Cambria"/>
        </w:rPr>
        <w:t xml:space="preserve"> Fomenta la innovación y la productividad.</w:t>
      </w:r>
    </w:p>
    <w:p w14:paraId="49A65114" w14:textId="77777777" w:rsidR="005F5510" w:rsidRPr="004C148B" w:rsidRDefault="005F5510" w:rsidP="004C148B">
      <w:pPr>
        <w:numPr>
          <w:ilvl w:val="1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Libertad de acceso:</w:t>
      </w:r>
      <w:r w:rsidRPr="004C148B">
        <w:rPr>
          <w:rFonts w:ascii="Cambria" w:hAnsi="Cambria"/>
        </w:rPr>
        <w:t xml:space="preserve"> Facilita la creación de nuevas empresas y empleo.</w:t>
      </w:r>
    </w:p>
    <w:p w14:paraId="0C814B94" w14:textId="77777777" w:rsidR="005F5510" w:rsidRPr="004C148B" w:rsidRDefault="005F5510" w:rsidP="004C148B">
      <w:pPr>
        <w:numPr>
          <w:ilvl w:val="0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Fundamento Jurídico UE:</w:t>
      </w:r>
      <w:r w:rsidRPr="004C148B">
        <w:rPr>
          <w:rFonts w:ascii="Cambria" w:hAnsi="Cambria"/>
        </w:rPr>
        <w:t xml:space="preserve"> Artículos 101 a 109 del TFUE y Protocolo </w:t>
      </w:r>
      <w:proofErr w:type="spellStart"/>
      <w:r w:rsidRPr="004C148B">
        <w:rPr>
          <w:rFonts w:ascii="Cambria" w:hAnsi="Cambria"/>
        </w:rPr>
        <w:t>nº</w:t>
      </w:r>
      <w:proofErr w:type="spellEnd"/>
      <w:r w:rsidRPr="004C148B">
        <w:rPr>
          <w:rFonts w:ascii="Cambria" w:hAnsi="Cambria"/>
        </w:rPr>
        <w:t xml:space="preserve"> 27 (el Mercado Interior incluye la competencia no falseada).</w:t>
      </w:r>
    </w:p>
    <w:p w14:paraId="573D220A" w14:textId="727DF2BD" w:rsidR="005F5510" w:rsidRPr="004C148B" w:rsidRDefault="005F5510" w:rsidP="004C148B">
      <w:pPr>
        <w:numPr>
          <w:ilvl w:val="0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Fundamento Jurídico Nacional:</w:t>
      </w:r>
      <w:r w:rsidRPr="004C148B">
        <w:rPr>
          <w:rFonts w:ascii="Cambria" w:hAnsi="Cambria"/>
        </w:rPr>
        <w:t xml:space="preserve"> Ley 15/2007 de Defensa de la Competencia</w:t>
      </w:r>
      <w:r w:rsidR="004C148B">
        <w:rPr>
          <w:rFonts w:ascii="Cambria" w:hAnsi="Cambria"/>
        </w:rPr>
        <w:t>.</w:t>
      </w:r>
    </w:p>
    <w:p w14:paraId="5F4FB917" w14:textId="77777777" w:rsidR="005F5510" w:rsidRPr="004C148B" w:rsidRDefault="005F5510" w:rsidP="004C148B">
      <w:pPr>
        <w:numPr>
          <w:ilvl w:val="1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Ámbito:</w:t>
      </w:r>
      <w:r w:rsidRPr="004C148B">
        <w:rPr>
          <w:rFonts w:ascii="Cambria" w:hAnsi="Cambria"/>
        </w:rPr>
        <w:t xml:space="preserve"> Control de conductas prohibidas, concentraciones económicas y ayudas públicas.</w:t>
      </w:r>
    </w:p>
    <w:p w14:paraId="107C90EF" w14:textId="576789E1" w:rsidR="005F5510" w:rsidRPr="004C148B" w:rsidRDefault="005F5510" w:rsidP="004C148B">
      <w:pPr>
        <w:numPr>
          <w:ilvl w:val="1"/>
          <w:numId w:val="1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Instituciones:</w:t>
      </w:r>
      <w:r w:rsidRPr="004C148B">
        <w:rPr>
          <w:rFonts w:ascii="Cambria" w:hAnsi="Cambria"/>
        </w:rPr>
        <w:t xml:space="preserve"> </w:t>
      </w:r>
      <w:r w:rsidR="004C148B">
        <w:rPr>
          <w:rFonts w:ascii="Cambria" w:hAnsi="Cambria"/>
        </w:rPr>
        <w:t xml:space="preserve">CNMC y </w:t>
      </w:r>
      <w:r w:rsidRPr="004C148B">
        <w:rPr>
          <w:rFonts w:ascii="Cambria" w:hAnsi="Cambria"/>
        </w:rPr>
        <w:t>Organismos Autonómicos.</w:t>
      </w:r>
    </w:p>
    <w:p w14:paraId="15D0D1AE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1.2. Ventajas e Inconvenientes</w:t>
      </w:r>
    </w:p>
    <w:p w14:paraId="0708C42D" w14:textId="77777777" w:rsidR="005F5510" w:rsidRPr="004C148B" w:rsidRDefault="005F5510" w:rsidP="004C148B">
      <w:pPr>
        <w:numPr>
          <w:ilvl w:val="0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Ventajas de la concentración:</w:t>
      </w:r>
    </w:p>
    <w:p w14:paraId="765A9C28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Técnicas:</w:t>
      </w:r>
      <w:r w:rsidRPr="004C148B">
        <w:rPr>
          <w:rFonts w:ascii="Cambria" w:hAnsi="Cambria"/>
        </w:rPr>
        <w:t xml:space="preserve"> Mayor especialización de maquinaria/mano de obra y mejor coordinación productiva.</w:t>
      </w:r>
    </w:p>
    <w:p w14:paraId="0D259203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Financieras:</w:t>
      </w:r>
      <w:r w:rsidRPr="004C148B">
        <w:rPr>
          <w:rFonts w:ascii="Cambria" w:hAnsi="Cambria"/>
        </w:rPr>
        <w:t xml:space="preserve"> Mayor crédito en mercados de capitales.</w:t>
      </w:r>
    </w:p>
    <w:p w14:paraId="755F2AB8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Comerciales:</w:t>
      </w:r>
      <w:r w:rsidRPr="004C148B">
        <w:rPr>
          <w:rFonts w:ascii="Cambria" w:hAnsi="Cambria"/>
        </w:rPr>
        <w:t xml:space="preserve"> Economías en distribución, publicidad y conocimiento del mercado.</w:t>
      </w:r>
    </w:p>
    <w:p w14:paraId="5EF6C66F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Estratégicas:</w:t>
      </w:r>
      <w:r w:rsidRPr="004C148B">
        <w:rPr>
          <w:rFonts w:ascii="Cambria" w:hAnsi="Cambria"/>
        </w:rPr>
        <w:t xml:space="preserve"> Control de mercado y estabilización de precios.</w:t>
      </w:r>
    </w:p>
    <w:p w14:paraId="3C277840" w14:textId="77777777" w:rsidR="005F5510" w:rsidRPr="004C148B" w:rsidRDefault="005F5510" w:rsidP="004C148B">
      <w:pPr>
        <w:numPr>
          <w:ilvl w:val="0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Inconvenientes:</w:t>
      </w:r>
    </w:p>
    <w:p w14:paraId="513D069E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Beneficio principal para la empresa en perjuicio de PYMES y consumidores (subida de precios).</w:t>
      </w:r>
    </w:p>
    <w:p w14:paraId="2D33AD4C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lastRenderedPageBreak/>
        <w:t>Peligros: Creación de posición dominante, disminución de operadores y reducción de la eficacia del mercado.</w:t>
      </w:r>
    </w:p>
    <w:p w14:paraId="328C048B" w14:textId="77777777" w:rsidR="005F5510" w:rsidRPr="004C148B" w:rsidRDefault="005F5510" w:rsidP="004C148B">
      <w:pPr>
        <w:numPr>
          <w:ilvl w:val="1"/>
          <w:numId w:val="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Objetivo:</w:t>
      </w:r>
      <w:r w:rsidRPr="004C148B">
        <w:rPr>
          <w:rFonts w:ascii="Cambria" w:hAnsi="Cambria"/>
        </w:rPr>
        <w:t xml:space="preserve"> Garantizar la coexistencia de pequeñas, medianas y grandes empresas y la fluidez del mercado.</w:t>
      </w:r>
    </w:p>
    <w:p w14:paraId="40970A5C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1.3. Evolución del Control</w:t>
      </w:r>
    </w:p>
    <w:p w14:paraId="7D75384B" w14:textId="77777777" w:rsidR="005F5510" w:rsidRPr="004C148B" w:rsidRDefault="005F5510" w:rsidP="004C148B">
      <w:pPr>
        <w:numPr>
          <w:ilvl w:val="0"/>
          <w:numId w:val="3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Fase inicial:</w:t>
      </w:r>
      <w:r w:rsidRPr="004C148B">
        <w:rPr>
          <w:rFonts w:ascii="Cambria" w:hAnsi="Cambria"/>
        </w:rPr>
        <w:t xml:space="preserve"> Ausencia de control o control indirecto/accesorio (solo como factor de conductas prohibidas).</w:t>
      </w:r>
    </w:p>
    <w:p w14:paraId="14FDA363" w14:textId="77777777" w:rsidR="005F5510" w:rsidRPr="004C148B" w:rsidRDefault="005F5510" w:rsidP="004C148B">
      <w:pPr>
        <w:numPr>
          <w:ilvl w:val="0"/>
          <w:numId w:val="3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Segunda fase:</w:t>
      </w:r>
      <w:r w:rsidRPr="004C148B">
        <w:rPr>
          <w:rFonts w:ascii="Cambria" w:hAnsi="Cambria"/>
        </w:rPr>
        <w:t xml:space="preserve"> La concentración se convierte en objeto directo de control.</w:t>
      </w:r>
    </w:p>
    <w:p w14:paraId="6171D678" w14:textId="77777777" w:rsidR="005F5510" w:rsidRPr="004C148B" w:rsidRDefault="005F5510" w:rsidP="004C148B">
      <w:pPr>
        <w:numPr>
          <w:ilvl w:val="0"/>
          <w:numId w:val="3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Tercera fase:</w:t>
      </w:r>
      <w:r w:rsidRPr="004C148B">
        <w:rPr>
          <w:rFonts w:ascii="Cambria" w:hAnsi="Cambria"/>
        </w:rPr>
        <w:t xml:space="preserve"> Nueva categoría jurídica preventiva del Derecho de la Competencia frente al poder económico.</w:t>
      </w:r>
    </w:p>
    <w:p w14:paraId="673D9AB3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1.4. Normativa Aplicable</w:t>
      </w:r>
    </w:p>
    <w:p w14:paraId="4164AE74" w14:textId="77777777" w:rsidR="005F5510" w:rsidRPr="004C148B" w:rsidRDefault="005F5510" w:rsidP="004C148B">
      <w:pPr>
        <w:numPr>
          <w:ilvl w:val="0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Normativa Comunitaria (Reglamento CE 139/2004):</w:t>
      </w:r>
    </w:p>
    <w:p w14:paraId="4E85616C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Sustituye al Reglamento 4064/89.</w:t>
      </w:r>
    </w:p>
    <w:p w14:paraId="6DF7386F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Introduce el Principio de Subsidiariedad (competencia de la autoridad mejor situada).</w:t>
      </w:r>
    </w:p>
    <w:p w14:paraId="403CF01D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Criterio de valoración:</w:t>
      </w:r>
      <w:r w:rsidRPr="004C148B">
        <w:rPr>
          <w:rFonts w:ascii="Cambria" w:hAnsi="Cambria"/>
        </w:rPr>
        <w:t xml:space="preserve"> Obstaculización significativa de la competencia efectiva (abarca efectos en oligopolios sin dominancia estricta).</w:t>
      </w:r>
    </w:p>
    <w:p w14:paraId="7CD450B0" w14:textId="77777777" w:rsidR="005F5510" w:rsidRPr="004C148B" w:rsidRDefault="005F5510" w:rsidP="004C148B">
      <w:pPr>
        <w:numPr>
          <w:ilvl w:val="0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Normativa Nacional (Ley 15/2007):</w:t>
      </w:r>
    </w:p>
    <w:p w14:paraId="78286D11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Aclara y amplía el concepto de concentración.</w:t>
      </w:r>
    </w:p>
    <w:p w14:paraId="41ED0C34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Crea un procedimiento simplificado y flexibiliza el régimen de suspensión.</w:t>
      </w:r>
    </w:p>
    <w:p w14:paraId="3DF9F770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Refuerza el papel de la CNMC frente al Gobierno (cuyo papel queda residual).</w:t>
      </w:r>
    </w:p>
    <w:p w14:paraId="399667A4" w14:textId="77777777" w:rsidR="005F5510" w:rsidRPr="004C148B" w:rsidRDefault="005F5510" w:rsidP="004C148B">
      <w:pPr>
        <w:numPr>
          <w:ilvl w:val="1"/>
          <w:numId w:val="4"/>
        </w:numPr>
        <w:jc w:val="both"/>
        <w:rPr>
          <w:rFonts w:ascii="Cambria" w:hAnsi="Cambria"/>
        </w:rPr>
      </w:pPr>
      <w:proofErr w:type="spellStart"/>
      <w:r w:rsidRPr="004C148B">
        <w:rPr>
          <w:rFonts w:ascii="Cambria" w:hAnsi="Cambria"/>
        </w:rPr>
        <w:t>OPAs</w:t>
      </w:r>
      <w:proofErr w:type="spellEnd"/>
      <w:r w:rsidRPr="004C148B">
        <w:rPr>
          <w:rFonts w:ascii="Cambria" w:hAnsi="Cambria"/>
        </w:rPr>
        <w:t>: Permite lanzarlas antes de la autorización si se notifica en 5 días y no se ejercen derechos de voto.</w:t>
      </w:r>
    </w:p>
    <w:p w14:paraId="5A12E441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2. DEFINICIÓN DE CONCENTRACIÓN</w:t>
      </w:r>
    </w:p>
    <w:p w14:paraId="21CB7E1D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2.1. En la Normativa Comunitaria (Reglamento 139/2004)</w:t>
      </w:r>
    </w:p>
    <w:p w14:paraId="16B1D29D" w14:textId="77777777" w:rsidR="005F5510" w:rsidRPr="004C148B" w:rsidRDefault="005F5510" w:rsidP="004C148B">
      <w:pPr>
        <w:numPr>
          <w:ilvl w:val="0"/>
          <w:numId w:val="5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Se produce cuando hay un cambio duradero del control por:</w:t>
      </w:r>
    </w:p>
    <w:p w14:paraId="3EE98DBA" w14:textId="77777777" w:rsidR="005F5510" w:rsidRPr="004C148B" w:rsidRDefault="005F5510" w:rsidP="004C148B">
      <w:pPr>
        <w:numPr>
          <w:ilvl w:val="1"/>
          <w:numId w:val="5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Fusión de dos o más empresas anteriormente independientes.</w:t>
      </w:r>
    </w:p>
    <w:p w14:paraId="20EEF75B" w14:textId="77777777" w:rsidR="005F5510" w:rsidRPr="004C148B" w:rsidRDefault="005F5510" w:rsidP="004C148B">
      <w:pPr>
        <w:numPr>
          <w:ilvl w:val="1"/>
          <w:numId w:val="5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lastRenderedPageBreak/>
        <w:t>Adquisición de control directo o indirecto (toma de participaciones o compra de activos).</w:t>
      </w:r>
    </w:p>
    <w:p w14:paraId="0A942F49" w14:textId="77777777" w:rsidR="005F5510" w:rsidRPr="004C148B" w:rsidRDefault="005F5510" w:rsidP="004C148B">
      <w:pPr>
        <w:numPr>
          <w:ilvl w:val="0"/>
          <w:numId w:val="5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Considera las operaciones múltiples vinculadas como una única concentración.</w:t>
      </w:r>
    </w:p>
    <w:p w14:paraId="71E6B319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2.2. En la Normativa Nacional (Ley 15/2007, Art. 7)</w:t>
      </w:r>
    </w:p>
    <w:p w14:paraId="3A71AD09" w14:textId="77777777" w:rsidR="005F5510" w:rsidRPr="004C148B" w:rsidRDefault="005F5510" w:rsidP="004C148B">
      <w:pPr>
        <w:numPr>
          <w:ilvl w:val="0"/>
          <w:numId w:val="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Cambio estable del control de la totalidad o parte de una o varias empresas consecuencia de:</w:t>
      </w:r>
    </w:p>
    <w:p w14:paraId="3607FBED" w14:textId="77777777" w:rsidR="005F5510" w:rsidRPr="004C148B" w:rsidRDefault="005F5510" w:rsidP="004C148B">
      <w:pPr>
        <w:numPr>
          <w:ilvl w:val="1"/>
          <w:numId w:val="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Fusión de dos o más empresas anteriormente independientes.</w:t>
      </w:r>
    </w:p>
    <w:p w14:paraId="6B587BC7" w14:textId="77777777" w:rsidR="005F5510" w:rsidRPr="004C148B" w:rsidRDefault="005F5510" w:rsidP="004C148B">
      <w:pPr>
        <w:numPr>
          <w:ilvl w:val="1"/>
          <w:numId w:val="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Adquisición de control por una empresa sobre otra.</w:t>
      </w:r>
    </w:p>
    <w:p w14:paraId="3C91627A" w14:textId="77777777" w:rsidR="005F5510" w:rsidRPr="004C148B" w:rsidRDefault="005F5510" w:rsidP="004C148B">
      <w:pPr>
        <w:numPr>
          <w:ilvl w:val="1"/>
          <w:numId w:val="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Creación de una empresa en participación (Joint Venture) que desempeñe permanentemente funciones de entidad económica autónoma.</w:t>
      </w:r>
    </w:p>
    <w:p w14:paraId="307BAC6D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3. UMBRALES DE NOTIFICACIÓN Y EFECTOS SUSPENSIVOS</w:t>
      </w:r>
    </w:p>
    <w:p w14:paraId="13929DBA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3.1. Umbrales Comunitarios</w:t>
      </w:r>
    </w:p>
    <w:p w14:paraId="7AB9B106" w14:textId="77777777" w:rsidR="005F5510" w:rsidRPr="004C148B" w:rsidRDefault="005F5510" w:rsidP="004C148B">
      <w:pPr>
        <w:jc w:val="both"/>
        <w:rPr>
          <w:rFonts w:ascii="Cambria" w:hAnsi="Cambria"/>
        </w:rPr>
      </w:pPr>
      <w:r w:rsidRPr="004C148B">
        <w:rPr>
          <w:rFonts w:ascii="Cambria" w:hAnsi="Cambria"/>
        </w:rPr>
        <w:t>Una concentración tiene "dimensión comunitaria" si cumple uno de los dos criterios:</w:t>
      </w:r>
    </w:p>
    <w:p w14:paraId="40C925D2" w14:textId="77777777" w:rsidR="005F5510" w:rsidRPr="004C148B" w:rsidRDefault="005F5510" w:rsidP="004C148B">
      <w:pPr>
        <w:numPr>
          <w:ilvl w:val="0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Criterio Principal:</w:t>
      </w:r>
    </w:p>
    <w:p w14:paraId="7FBCBFD4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Volumen de negocios mundial conjunto &gt; 5.000 M€.</w:t>
      </w:r>
    </w:p>
    <w:p w14:paraId="0718205B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Volumen de negocios comunitario individual (al menos 2 empresas) &gt; 250 M€.</w:t>
      </w:r>
    </w:p>
    <w:p w14:paraId="439DEBBF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  <w:i/>
          <w:iCs/>
        </w:rPr>
        <w:t>Excepción:</w:t>
      </w:r>
      <w:r w:rsidRPr="004C148B">
        <w:rPr>
          <w:rFonts w:ascii="Cambria" w:hAnsi="Cambria"/>
        </w:rPr>
        <w:t xml:space="preserve"> No aplica si cada empresa realiza &gt; 2/3 de su negocio UE en un mismo Estado Miembro.</w:t>
      </w:r>
    </w:p>
    <w:p w14:paraId="1C69CA11" w14:textId="77777777" w:rsidR="005F5510" w:rsidRPr="004C148B" w:rsidRDefault="005F5510" w:rsidP="004C148B">
      <w:pPr>
        <w:numPr>
          <w:ilvl w:val="0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Criterio Secundario (si no cumple el anterior):</w:t>
      </w:r>
    </w:p>
    <w:p w14:paraId="2179B330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Volumen mundial conjunto &gt; 2.500 M€.</w:t>
      </w:r>
    </w:p>
    <w:p w14:paraId="54DBF714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En al menos 3 Estados Miembros: Volumen conjunto &gt; 100 M€ y volumen individual (&gt;2 empresas) &gt; 25 M€.</w:t>
      </w:r>
    </w:p>
    <w:p w14:paraId="15A28E6A" w14:textId="77777777" w:rsidR="005F5510" w:rsidRPr="004C148B" w:rsidRDefault="005F5510" w:rsidP="004C148B">
      <w:pPr>
        <w:numPr>
          <w:ilvl w:val="1"/>
          <w:numId w:val="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Volumen comunitario individual (&gt;2 empresas) &gt; 100 M€.</w:t>
      </w:r>
    </w:p>
    <w:p w14:paraId="183E2B50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3.2. Umbrales Nacionales (Ley 15/2007, Art. 8)</w:t>
      </w:r>
    </w:p>
    <w:p w14:paraId="24105562" w14:textId="77777777" w:rsidR="005F5510" w:rsidRPr="004C148B" w:rsidRDefault="005F5510" w:rsidP="004C148B">
      <w:pPr>
        <w:jc w:val="both"/>
        <w:rPr>
          <w:rFonts w:ascii="Cambria" w:hAnsi="Cambria"/>
        </w:rPr>
      </w:pPr>
      <w:r w:rsidRPr="004C148B">
        <w:rPr>
          <w:rFonts w:ascii="Cambria" w:hAnsi="Cambria"/>
        </w:rPr>
        <w:t>Se debe notificar si concurre al menos una de las dos circunstancias:</w:t>
      </w:r>
    </w:p>
    <w:p w14:paraId="21A868B8" w14:textId="77777777" w:rsidR="005F5510" w:rsidRPr="004C148B" w:rsidRDefault="005F5510" w:rsidP="004C148B">
      <w:pPr>
        <w:numPr>
          <w:ilvl w:val="0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Cuota de Mercado:</w:t>
      </w:r>
    </w:p>
    <w:p w14:paraId="54C625B2" w14:textId="77777777" w:rsidR="005F5510" w:rsidRPr="004C148B" w:rsidRDefault="005F5510" w:rsidP="004C148B">
      <w:pPr>
        <w:numPr>
          <w:ilvl w:val="1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lastRenderedPageBreak/>
        <w:t>Adquisición o incremento de cuota igual o superior al 30% del mercado relevante (nacional o geográfico definido).</w:t>
      </w:r>
    </w:p>
    <w:p w14:paraId="50A1091C" w14:textId="77777777" w:rsidR="005F5510" w:rsidRPr="004C148B" w:rsidRDefault="005F5510" w:rsidP="004C148B">
      <w:pPr>
        <w:numPr>
          <w:ilvl w:val="1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  <w:i/>
          <w:iCs/>
        </w:rPr>
        <w:t>Exención:</w:t>
      </w:r>
      <w:r w:rsidRPr="004C148B">
        <w:rPr>
          <w:rFonts w:ascii="Cambria" w:hAnsi="Cambria"/>
        </w:rPr>
        <w:t xml:space="preserve"> Si el volumen de negocios global en España de la adquirida &lt; 10 M€ y no tienen cuota conjunta &gt;= 50%.</w:t>
      </w:r>
    </w:p>
    <w:p w14:paraId="4CE76325" w14:textId="77777777" w:rsidR="005F5510" w:rsidRPr="004C148B" w:rsidRDefault="005F5510" w:rsidP="004C148B">
      <w:pPr>
        <w:numPr>
          <w:ilvl w:val="0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Volumen de Negocios:</w:t>
      </w:r>
    </w:p>
    <w:p w14:paraId="63D35277" w14:textId="77777777" w:rsidR="005F5510" w:rsidRPr="004C148B" w:rsidRDefault="005F5510" w:rsidP="004C148B">
      <w:pPr>
        <w:numPr>
          <w:ilvl w:val="1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Volumen global en España del conjunto de partícipes &gt; 240 M€.</w:t>
      </w:r>
    </w:p>
    <w:p w14:paraId="3D0F78C5" w14:textId="77777777" w:rsidR="005F5510" w:rsidRPr="004C148B" w:rsidRDefault="005F5510" w:rsidP="004C148B">
      <w:pPr>
        <w:numPr>
          <w:ilvl w:val="1"/>
          <w:numId w:val="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Al menos 2 de los partícipes realizan individualmente en España &gt; 60 M€.</w:t>
      </w:r>
    </w:p>
    <w:p w14:paraId="1598F9BB" w14:textId="77777777" w:rsidR="005F5510" w:rsidRPr="004C148B" w:rsidRDefault="005F5510" w:rsidP="004C148B">
      <w:pPr>
        <w:pStyle w:val="Ttulo2"/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3.3. Efectos Suspensivos (Art. 9)</w:t>
      </w:r>
    </w:p>
    <w:p w14:paraId="28B13E72" w14:textId="77777777" w:rsidR="005F5510" w:rsidRPr="004C148B" w:rsidRDefault="005F5510" w:rsidP="004C148B">
      <w:pPr>
        <w:numPr>
          <w:ilvl w:val="0"/>
          <w:numId w:val="9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Obligación:</w:t>
      </w:r>
      <w:r w:rsidRPr="004C148B">
        <w:rPr>
          <w:rFonts w:ascii="Cambria" w:hAnsi="Cambria"/>
        </w:rPr>
        <w:t xml:space="preserve"> Notificar a la CNMC antes de la ejecución.</w:t>
      </w:r>
    </w:p>
    <w:p w14:paraId="32B56824" w14:textId="77777777" w:rsidR="005F5510" w:rsidRPr="004C148B" w:rsidRDefault="005F5510" w:rsidP="004C148B">
      <w:pPr>
        <w:numPr>
          <w:ilvl w:val="0"/>
          <w:numId w:val="9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Suspensión:</w:t>
      </w:r>
      <w:r w:rsidRPr="004C148B">
        <w:rPr>
          <w:rFonts w:ascii="Cambria" w:hAnsi="Cambria"/>
        </w:rPr>
        <w:t xml:space="preserve"> La operación no puede ejecutarse hasta obtener autorización expresa o tácita.</w:t>
      </w:r>
    </w:p>
    <w:p w14:paraId="746906EA" w14:textId="77777777" w:rsidR="005F5510" w:rsidRPr="004C148B" w:rsidRDefault="005F5510" w:rsidP="004C148B">
      <w:pPr>
        <w:numPr>
          <w:ilvl w:val="0"/>
          <w:numId w:val="9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Levantamiento:</w:t>
      </w:r>
      <w:r w:rsidRPr="004C148B">
        <w:rPr>
          <w:rFonts w:ascii="Cambria" w:hAnsi="Cambria"/>
        </w:rPr>
        <w:t xml:space="preserve"> La CNMC puede levantar la suspensión en cualquier momento del procedimiento.</w:t>
      </w:r>
    </w:p>
    <w:p w14:paraId="7C3B370A" w14:textId="77777777" w:rsidR="005F5510" w:rsidRPr="004C148B" w:rsidRDefault="005F5510" w:rsidP="004C148B">
      <w:pPr>
        <w:numPr>
          <w:ilvl w:val="0"/>
          <w:numId w:val="9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Sujetos obligados:</w:t>
      </w:r>
      <w:r w:rsidRPr="004C148B">
        <w:rPr>
          <w:rFonts w:ascii="Cambria" w:hAnsi="Cambria"/>
        </w:rPr>
        <w:t xml:space="preserve"> Las partes en fusiones/control conjunto o la parte que adquiere control exclusivo.</w:t>
      </w:r>
    </w:p>
    <w:p w14:paraId="06BB7A8A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4. DEFINICIÓN DE LOS MERCADOS DE REFERENCIA</w:t>
      </w:r>
    </w:p>
    <w:p w14:paraId="6158B601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4.1. Mercado de Producto</w:t>
      </w:r>
    </w:p>
    <w:p w14:paraId="234B3535" w14:textId="77777777" w:rsidR="005F5510" w:rsidRPr="004C148B" w:rsidRDefault="005F5510" w:rsidP="004C148B">
      <w:pPr>
        <w:numPr>
          <w:ilvl w:val="0"/>
          <w:numId w:val="10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Comprende la totalidad de productos/servicios que los consumidores consideran intercambiables o sustituibles (por características, precio o uso).</w:t>
      </w:r>
    </w:p>
    <w:p w14:paraId="1744FADD" w14:textId="77777777" w:rsidR="005F5510" w:rsidRPr="004C148B" w:rsidRDefault="005F5510" w:rsidP="004C148B">
      <w:pPr>
        <w:numPr>
          <w:ilvl w:val="0"/>
          <w:numId w:val="10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Criterios de sustituibilidad:</w:t>
      </w:r>
    </w:p>
    <w:p w14:paraId="4C58A423" w14:textId="77777777" w:rsidR="005F5510" w:rsidRPr="004C148B" w:rsidRDefault="005F5510" w:rsidP="004C148B">
      <w:pPr>
        <w:numPr>
          <w:ilvl w:val="1"/>
          <w:numId w:val="10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Demanda:</w:t>
      </w:r>
      <w:r w:rsidRPr="004C148B">
        <w:rPr>
          <w:rFonts w:ascii="Cambria" w:hAnsi="Cambria"/>
        </w:rPr>
        <w:t xml:space="preserve"> Productos que el consumidor considera sustitutos (criterio delimitador principal).</w:t>
      </w:r>
    </w:p>
    <w:p w14:paraId="7F9DA0DD" w14:textId="77777777" w:rsidR="005F5510" w:rsidRPr="004C148B" w:rsidRDefault="005F5510" w:rsidP="004C148B">
      <w:pPr>
        <w:numPr>
          <w:ilvl w:val="1"/>
          <w:numId w:val="10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Oferta:</w:t>
      </w:r>
      <w:r w:rsidRPr="004C148B">
        <w:rPr>
          <w:rFonts w:ascii="Cambria" w:hAnsi="Cambria"/>
        </w:rPr>
        <w:t xml:space="preserve"> Capacidad de proveedores alternativos de fabricar y vender a corto plazo sin costes significativos ante variaciones de precio.</w:t>
      </w:r>
    </w:p>
    <w:p w14:paraId="5D31296E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4.2. Mercado Geográfico</w:t>
      </w:r>
    </w:p>
    <w:p w14:paraId="420F5793" w14:textId="77777777" w:rsidR="005F5510" w:rsidRPr="004C148B" w:rsidRDefault="005F5510" w:rsidP="004C148B">
      <w:pPr>
        <w:numPr>
          <w:ilvl w:val="0"/>
          <w:numId w:val="11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Zona donde las empresas desarrollan actividades y las condiciones de competencia son suficientemente homogéneas y distinguibles de zonas próximas.</w:t>
      </w:r>
    </w:p>
    <w:p w14:paraId="619F6A7B" w14:textId="77777777" w:rsidR="005F5510" w:rsidRPr="004C148B" w:rsidRDefault="005F5510" w:rsidP="004C148B">
      <w:pPr>
        <w:numPr>
          <w:ilvl w:val="0"/>
          <w:numId w:val="11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En España, suele ser el mercado nacional o una parte sustancial del mismo (ej. mercado regional).</w:t>
      </w:r>
    </w:p>
    <w:p w14:paraId="3BC4E6D9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lastRenderedPageBreak/>
        <w:t>5. PROCEDIMIENTO NACIONAL DE CONTROL</w:t>
      </w:r>
    </w:p>
    <w:p w14:paraId="0BD8D778" w14:textId="77777777" w:rsidR="005F5510" w:rsidRPr="004C148B" w:rsidRDefault="005F5510" w:rsidP="004C148B">
      <w:p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5.1. Fases ante la CNMC</w:t>
      </w:r>
    </w:p>
    <w:p w14:paraId="18CED8C2" w14:textId="77777777" w:rsidR="005F5510" w:rsidRPr="004C148B" w:rsidRDefault="005F5510" w:rsidP="004C148B">
      <w:pPr>
        <w:numPr>
          <w:ilvl w:val="0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Primera Fase (Art. 57):</w:t>
      </w:r>
    </w:p>
    <w:p w14:paraId="525E4CDD" w14:textId="77777777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Duración máxima: 1 mes.</w:t>
      </w:r>
    </w:p>
    <w:p w14:paraId="06B79195" w14:textId="77777777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Análisis y aprobación de operaciones que no plantean problemas de competencia.</w:t>
      </w:r>
    </w:p>
    <w:p w14:paraId="4B58A5B2" w14:textId="77777777" w:rsidR="005F5510" w:rsidRPr="004C148B" w:rsidRDefault="005F5510" w:rsidP="004C148B">
      <w:pPr>
        <w:numPr>
          <w:ilvl w:val="0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Segunda Fase (Art. 58):</w:t>
      </w:r>
    </w:p>
    <w:p w14:paraId="22D969B8" w14:textId="77777777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Duración máxima: 2 meses.</w:t>
      </w:r>
    </w:p>
    <w:p w14:paraId="09B97956" w14:textId="77777777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Análisis detallado con participación de terceros interesados.</w:t>
      </w:r>
    </w:p>
    <w:p w14:paraId="2B708247" w14:textId="77777777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Resolución final por el Consejo de la CNMC (puede prohibir o subordinar a condiciones).</w:t>
      </w:r>
    </w:p>
    <w:p w14:paraId="1642B3D0" w14:textId="77D53AD6" w:rsidR="005F5510" w:rsidRPr="004C148B" w:rsidRDefault="005F5510" w:rsidP="004C148B">
      <w:pPr>
        <w:numPr>
          <w:ilvl w:val="1"/>
          <w:numId w:val="12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Posibilidad de presentar compromisos por los notificantes.</w:t>
      </w:r>
    </w:p>
    <w:p w14:paraId="17F8FA1F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5.2. Intervención del Gobierno</w:t>
      </w:r>
    </w:p>
    <w:p w14:paraId="45A03CA5" w14:textId="77777777" w:rsidR="005F5510" w:rsidRPr="004C148B" w:rsidRDefault="005F5510" w:rsidP="004C148B">
      <w:pPr>
        <w:numPr>
          <w:ilvl w:val="0"/>
          <w:numId w:val="13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 xml:space="preserve">Si la CNMC prohíbe o subordina la concentración, el </w:t>
      </w:r>
      <w:proofErr w:type="gramStart"/>
      <w:r w:rsidRPr="004C148B">
        <w:rPr>
          <w:rFonts w:ascii="Cambria" w:hAnsi="Cambria"/>
        </w:rPr>
        <w:t>Ministro</w:t>
      </w:r>
      <w:proofErr w:type="gramEnd"/>
      <w:r w:rsidRPr="004C148B">
        <w:rPr>
          <w:rFonts w:ascii="Cambria" w:hAnsi="Cambria"/>
        </w:rPr>
        <w:t xml:space="preserve"> de Economía tiene 15 días para elevar el caso al Consejo de </w:t>
      </w:r>
      <w:proofErr w:type="gramStart"/>
      <w:r w:rsidRPr="004C148B">
        <w:rPr>
          <w:rFonts w:ascii="Cambria" w:hAnsi="Cambria"/>
        </w:rPr>
        <w:t>Ministros</w:t>
      </w:r>
      <w:proofErr w:type="gramEnd"/>
      <w:r w:rsidRPr="004C148B">
        <w:rPr>
          <w:rFonts w:ascii="Cambria" w:hAnsi="Cambria"/>
        </w:rPr>
        <w:t>.</w:t>
      </w:r>
    </w:p>
    <w:p w14:paraId="2F43676D" w14:textId="77777777" w:rsidR="005F5510" w:rsidRPr="004C148B" w:rsidRDefault="005F5510" w:rsidP="004C148B">
      <w:pPr>
        <w:numPr>
          <w:ilvl w:val="0"/>
          <w:numId w:val="13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 xml:space="preserve">El Consejo de </w:t>
      </w:r>
      <w:proofErr w:type="gramStart"/>
      <w:r w:rsidRPr="004C148B">
        <w:rPr>
          <w:rFonts w:ascii="Cambria" w:hAnsi="Cambria"/>
        </w:rPr>
        <w:t>Ministros</w:t>
      </w:r>
      <w:proofErr w:type="gramEnd"/>
      <w:r w:rsidRPr="004C148B">
        <w:rPr>
          <w:rFonts w:ascii="Cambria" w:hAnsi="Cambria"/>
        </w:rPr>
        <w:t xml:space="preserve"> tiene 1 mes para resolver.</w:t>
      </w:r>
    </w:p>
    <w:p w14:paraId="47E38023" w14:textId="77777777" w:rsidR="005F5510" w:rsidRPr="004C148B" w:rsidRDefault="005F5510" w:rsidP="004C148B">
      <w:pPr>
        <w:numPr>
          <w:ilvl w:val="0"/>
          <w:numId w:val="13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Causa:</w:t>
      </w:r>
      <w:r w:rsidRPr="004C148B">
        <w:rPr>
          <w:rFonts w:ascii="Cambria" w:hAnsi="Cambria"/>
        </w:rPr>
        <w:t xml:space="preserve"> Solo por razones de interés general (defensa, seguridad, salud pública, libre circulación, medioambiente, I+D).</w:t>
      </w:r>
    </w:p>
    <w:p w14:paraId="7DB799C0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5.3. Formas de Notificación</w:t>
      </w:r>
    </w:p>
    <w:p w14:paraId="07924F31" w14:textId="77777777" w:rsidR="005F5510" w:rsidRPr="004C148B" w:rsidRDefault="005F5510" w:rsidP="004C148B">
      <w:pPr>
        <w:numPr>
          <w:ilvl w:val="0"/>
          <w:numId w:val="14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Formulario Normal.</w:t>
      </w:r>
    </w:p>
    <w:p w14:paraId="12F4C8C5" w14:textId="77777777" w:rsidR="005F5510" w:rsidRPr="004C148B" w:rsidRDefault="005F5510" w:rsidP="004C148B">
      <w:pPr>
        <w:numPr>
          <w:ilvl w:val="0"/>
          <w:numId w:val="14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Formulario Abreviado (Art. 56):</w:t>
      </w:r>
    </w:p>
    <w:p w14:paraId="53C6E95C" w14:textId="77777777" w:rsidR="005F5510" w:rsidRPr="004C148B" w:rsidRDefault="005F5510" w:rsidP="004C148B">
      <w:pPr>
        <w:numPr>
          <w:ilvl w:val="1"/>
          <w:numId w:val="1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Para concentraciones poco susceptibles de afectar la competencia (sin solapamientos, escasa actividad en España).</w:t>
      </w:r>
    </w:p>
    <w:p w14:paraId="10F34651" w14:textId="77777777" w:rsidR="005F5510" w:rsidRPr="004C148B" w:rsidRDefault="005F5510" w:rsidP="004C148B">
      <w:pPr>
        <w:numPr>
          <w:ilvl w:val="1"/>
          <w:numId w:val="14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Sujeto a tasa reducida de 1.500€.</w:t>
      </w:r>
    </w:p>
    <w:p w14:paraId="5FDD475F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6. SANCIONES</w:t>
      </w:r>
    </w:p>
    <w:p w14:paraId="4707FF52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6.1. Regulación Comunitaria</w:t>
      </w:r>
    </w:p>
    <w:p w14:paraId="18DAD7A4" w14:textId="77777777" w:rsidR="005F5510" w:rsidRPr="004C148B" w:rsidRDefault="005F5510" w:rsidP="004C148B">
      <w:pPr>
        <w:numPr>
          <w:ilvl w:val="0"/>
          <w:numId w:val="15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Multas del 1% del volumen de negocios:</w:t>
      </w:r>
      <w:r w:rsidRPr="004C148B">
        <w:rPr>
          <w:rFonts w:ascii="Cambria" w:hAnsi="Cambria"/>
        </w:rPr>
        <w:t xml:space="preserve"> Información inexacta, incompleta o fuera de plazo.</w:t>
      </w:r>
    </w:p>
    <w:p w14:paraId="1E8F62CE" w14:textId="77777777" w:rsidR="005F5510" w:rsidRPr="004C148B" w:rsidRDefault="005F5510" w:rsidP="004C148B">
      <w:pPr>
        <w:numPr>
          <w:ilvl w:val="0"/>
          <w:numId w:val="15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Multas del 10% del volumen de negocios:</w:t>
      </w:r>
      <w:r w:rsidRPr="004C148B">
        <w:rPr>
          <w:rFonts w:ascii="Cambria" w:hAnsi="Cambria"/>
        </w:rPr>
        <w:t xml:space="preserve"> No notificar, ejecutar infringiendo el reglamento o incumplir decisiones de la Comisión.</w:t>
      </w:r>
    </w:p>
    <w:p w14:paraId="7DCE4376" w14:textId="77777777" w:rsidR="005F5510" w:rsidRPr="004C148B" w:rsidRDefault="005F5510" w:rsidP="004C148B">
      <w:pPr>
        <w:numPr>
          <w:ilvl w:val="0"/>
          <w:numId w:val="15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lastRenderedPageBreak/>
        <w:t>Multas coercitivas:</w:t>
      </w:r>
      <w:r w:rsidRPr="004C148B">
        <w:rPr>
          <w:rFonts w:ascii="Cambria" w:hAnsi="Cambria"/>
        </w:rPr>
        <w:t xml:space="preserve"> Hasta el 5% del volumen diario medio por día de retraso.</w:t>
      </w:r>
    </w:p>
    <w:p w14:paraId="6CFF02C5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6.2. Regulación Nacional (Ley 15/2007)</w:t>
      </w:r>
    </w:p>
    <w:p w14:paraId="0E1A37FB" w14:textId="77777777" w:rsidR="005F5510" w:rsidRPr="004C148B" w:rsidRDefault="005F5510" w:rsidP="004C148B">
      <w:pPr>
        <w:jc w:val="both"/>
        <w:rPr>
          <w:rFonts w:ascii="Cambria" w:hAnsi="Cambria"/>
        </w:rPr>
      </w:pPr>
      <w:r w:rsidRPr="004C148B">
        <w:rPr>
          <w:rFonts w:ascii="Cambria" w:hAnsi="Cambria"/>
        </w:rPr>
        <w:t>Las sanciones se basan en el volumen de negocios total mundial del ejercicio anterior:</w:t>
      </w:r>
    </w:p>
    <w:p w14:paraId="1EE247C4" w14:textId="77777777" w:rsidR="005F5510" w:rsidRPr="004C148B" w:rsidRDefault="005F5510" w:rsidP="004C148B">
      <w:pPr>
        <w:numPr>
          <w:ilvl w:val="0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Infracciones Leves:</w:t>
      </w:r>
      <w:r w:rsidRPr="004C148B">
        <w:rPr>
          <w:rFonts w:ascii="Cambria" w:hAnsi="Cambria"/>
        </w:rPr>
        <w:t xml:space="preserve"> Hasta el 1% del volumen de negocios.</w:t>
      </w:r>
    </w:p>
    <w:p w14:paraId="69E7EACA" w14:textId="77777777" w:rsidR="005F5510" w:rsidRPr="004C148B" w:rsidRDefault="005F5510" w:rsidP="004C148B">
      <w:pPr>
        <w:numPr>
          <w:ilvl w:val="1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Rango si no hay dato de volumen: 100.000€ a 500.000€.</w:t>
      </w:r>
    </w:p>
    <w:p w14:paraId="01273741" w14:textId="77777777" w:rsidR="005F5510" w:rsidRPr="004C148B" w:rsidRDefault="005F5510" w:rsidP="004C148B">
      <w:pPr>
        <w:numPr>
          <w:ilvl w:val="0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Infracciones Graves:</w:t>
      </w:r>
      <w:r w:rsidRPr="004C148B">
        <w:rPr>
          <w:rFonts w:ascii="Cambria" w:hAnsi="Cambria"/>
        </w:rPr>
        <w:t xml:space="preserve"> Hasta el 5% del volumen de negocios.</w:t>
      </w:r>
    </w:p>
    <w:p w14:paraId="587F735B" w14:textId="77777777" w:rsidR="005F5510" w:rsidRPr="004C148B" w:rsidRDefault="005F5510" w:rsidP="004C148B">
      <w:pPr>
        <w:numPr>
          <w:ilvl w:val="1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Rango si no hay dato de volumen: 500.001€ a 10 M€.</w:t>
      </w:r>
    </w:p>
    <w:p w14:paraId="2C79537C" w14:textId="77777777" w:rsidR="005F5510" w:rsidRPr="004C148B" w:rsidRDefault="005F5510" w:rsidP="004C148B">
      <w:pPr>
        <w:numPr>
          <w:ilvl w:val="0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Infracciones Muy Graves:</w:t>
      </w:r>
      <w:r w:rsidRPr="004C148B">
        <w:rPr>
          <w:rFonts w:ascii="Cambria" w:hAnsi="Cambria"/>
        </w:rPr>
        <w:t xml:space="preserve"> Hasta el 10% del volumen de negocios.</w:t>
      </w:r>
    </w:p>
    <w:p w14:paraId="458490CA" w14:textId="77777777" w:rsidR="005F5510" w:rsidRPr="004C148B" w:rsidRDefault="005F5510" w:rsidP="004C148B">
      <w:pPr>
        <w:numPr>
          <w:ilvl w:val="1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Rango si no hay dato de volumen: Más de 10 M€.</w:t>
      </w:r>
    </w:p>
    <w:p w14:paraId="09B37FEF" w14:textId="77777777" w:rsidR="005F5510" w:rsidRPr="004C148B" w:rsidRDefault="005F5510" w:rsidP="004C148B">
      <w:pPr>
        <w:numPr>
          <w:ilvl w:val="0"/>
          <w:numId w:val="16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Personas Físicas:</w:t>
      </w:r>
      <w:r w:rsidRPr="004C148B">
        <w:rPr>
          <w:rFonts w:ascii="Cambria" w:hAnsi="Cambria"/>
        </w:rPr>
        <w:t xml:space="preserve"> Multas de hasta 60.000€ para representantes legales o directivos participantes.</w:t>
      </w:r>
    </w:p>
    <w:p w14:paraId="463FB28A" w14:textId="77777777" w:rsidR="005F5510" w:rsidRPr="004C148B" w:rsidRDefault="005F5510" w:rsidP="004C148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4C148B">
        <w:rPr>
          <w:rFonts w:ascii="Cambria" w:hAnsi="Cambria"/>
          <w:b/>
          <w:bCs/>
          <w:color w:val="auto"/>
          <w:sz w:val="28"/>
          <w:szCs w:val="28"/>
        </w:rPr>
        <w:t>7. CONCLUSIÓN Y DATOS ESTADÍSTICOS</w:t>
      </w:r>
    </w:p>
    <w:p w14:paraId="14B13340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7.1. Memoria CNMC 2023</w:t>
      </w:r>
    </w:p>
    <w:p w14:paraId="6D07CCEE" w14:textId="3A216E7B" w:rsidR="005F5510" w:rsidRPr="004C148B" w:rsidRDefault="005F5510" w:rsidP="004C148B">
      <w:pPr>
        <w:numPr>
          <w:ilvl w:val="0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Notificaciones:</w:t>
      </w:r>
      <w:r w:rsidRPr="004C148B">
        <w:rPr>
          <w:rFonts w:ascii="Cambria" w:hAnsi="Cambria"/>
        </w:rPr>
        <w:t xml:space="preserve"> 70 operaciones (frente a 103 en 2022).</w:t>
      </w:r>
    </w:p>
    <w:p w14:paraId="5F4DA684" w14:textId="77777777" w:rsidR="005F5510" w:rsidRPr="004C148B" w:rsidRDefault="005F5510" w:rsidP="004C148B">
      <w:pPr>
        <w:numPr>
          <w:ilvl w:val="0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Procedimiento:</w:t>
      </w:r>
    </w:p>
    <w:p w14:paraId="40FA1110" w14:textId="77777777" w:rsidR="005F5510" w:rsidRPr="004C148B" w:rsidRDefault="005F5510" w:rsidP="004C148B">
      <w:pPr>
        <w:numPr>
          <w:ilvl w:val="1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El 60% se notificaron mediante formulario abreviado.</w:t>
      </w:r>
    </w:p>
    <w:p w14:paraId="546D56FF" w14:textId="77777777" w:rsidR="005F5510" w:rsidRPr="004C148B" w:rsidRDefault="005F5510" w:rsidP="004C148B">
      <w:pPr>
        <w:numPr>
          <w:ilvl w:val="1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 xml:space="preserve">El 90% utilizaron el trámite de </w:t>
      </w:r>
      <w:proofErr w:type="spellStart"/>
      <w:r w:rsidRPr="004C148B">
        <w:rPr>
          <w:rFonts w:ascii="Cambria" w:hAnsi="Cambria"/>
        </w:rPr>
        <w:t>prenotificación</w:t>
      </w:r>
      <w:proofErr w:type="spellEnd"/>
      <w:r w:rsidRPr="004C148B">
        <w:rPr>
          <w:rFonts w:ascii="Cambria" w:hAnsi="Cambria"/>
        </w:rPr>
        <w:t>.</w:t>
      </w:r>
    </w:p>
    <w:p w14:paraId="01AF59B8" w14:textId="77777777" w:rsidR="005F5510" w:rsidRPr="004C148B" w:rsidRDefault="005F5510" w:rsidP="004C148B">
      <w:pPr>
        <w:numPr>
          <w:ilvl w:val="1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Plazo medio de resolución en abreviado: 10 días.</w:t>
      </w:r>
    </w:p>
    <w:p w14:paraId="3F119C98" w14:textId="77777777" w:rsidR="005F5510" w:rsidRPr="004C148B" w:rsidRDefault="005F5510" w:rsidP="004C148B">
      <w:pPr>
        <w:numPr>
          <w:ilvl w:val="0"/>
          <w:numId w:val="17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Complejidad:</w:t>
      </w:r>
      <w:r w:rsidRPr="004C148B">
        <w:rPr>
          <w:rFonts w:ascii="Cambria" w:hAnsi="Cambria"/>
        </w:rPr>
        <w:t xml:space="preserve"> Aumenta pese al descenso numérico (más operaciones con compromisos).</w:t>
      </w:r>
    </w:p>
    <w:p w14:paraId="21B14844" w14:textId="77777777" w:rsidR="005F5510" w:rsidRPr="004C148B" w:rsidRDefault="005F5510" w:rsidP="004C148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4C148B">
        <w:rPr>
          <w:rFonts w:ascii="Cambria" w:hAnsi="Cambria"/>
          <w:b/>
          <w:bCs/>
          <w:color w:val="auto"/>
          <w:sz w:val="24"/>
          <w:szCs w:val="24"/>
        </w:rPr>
        <w:t>7.2. Operaciones Relevantes Recientes</w:t>
      </w:r>
    </w:p>
    <w:p w14:paraId="292E2967" w14:textId="77777777" w:rsidR="005F5510" w:rsidRPr="004C148B" w:rsidRDefault="005F5510" w:rsidP="004C148B">
      <w:pPr>
        <w:numPr>
          <w:ilvl w:val="0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Sector Bancario:</w:t>
      </w:r>
      <w:r w:rsidRPr="004C148B">
        <w:rPr>
          <w:rFonts w:ascii="Cambria" w:hAnsi="Cambria"/>
        </w:rPr>
        <w:t xml:space="preserve"> Fusión </w:t>
      </w:r>
      <w:proofErr w:type="spellStart"/>
      <w:r w:rsidRPr="004C148B">
        <w:rPr>
          <w:rFonts w:ascii="Cambria" w:hAnsi="Cambria"/>
        </w:rPr>
        <w:t>Caixabank</w:t>
      </w:r>
      <w:proofErr w:type="spellEnd"/>
      <w:r w:rsidRPr="004C148B">
        <w:rPr>
          <w:rFonts w:ascii="Cambria" w:hAnsi="Cambria"/>
        </w:rPr>
        <w:t>/Bankia (líder mercado nacional), Unicaja/Liberbank, Bankinter/EVO.</w:t>
      </w:r>
    </w:p>
    <w:p w14:paraId="6AF71FF2" w14:textId="77777777" w:rsidR="005F5510" w:rsidRPr="004C148B" w:rsidRDefault="005F5510" w:rsidP="004C148B">
      <w:pPr>
        <w:numPr>
          <w:ilvl w:val="0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Sector Energético:</w:t>
      </w:r>
      <w:r w:rsidRPr="004C148B">
        <w:rPr>
          <w:rFonts w:ascii="Cambria" w:hAnsi="Cambria"/>
        </w:rPr>
        <w:t xml:space="preserve"> CEPSA (gasolineras), DISA.</w:t>
      </w:r>
    </w:p>
    <w:p w14:paraId="2591645A" w14:textId="77777777" w:rsidR="005F5510" w:rsidRPr="004C148B" w:rsidRDefault="005F5510" w:rsidP="004C148B">
      <w:pPr>
        <w:numPr>
          <w:ilvl w:val="0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  <w:b/>
          <w:bCs/>
        </w:rPr>
        <w:t>Otros Sectores:</w:t>
      </w:r>
    </w:p>
    <w:p w14:paraId="55C397A7" w14:textId="77777777" w:rsidR="005F5510" w:rsidRPr="004C148B" w:rsidRDefault="005F5510" w:rsidP="004C148B">
      <w:pPr>
        <w:numPr>
          <w:ilvl w:val="1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Alimentación: Bimbo/Siro (pan envasado).</w:t>
      </w:r>
    </w:p>
    <w:p w14:paraId="4B9DBC08" w14:textId="77777777" w:rsidR="005F5510" w:rsidRPr="004C148B" w:rsidRDefault="005F5510" w:rsidP="004C148B">
      <w:pPr>
        <w:numPr>
          <w:ilvl w:val="1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Seguros: SegurCaixa/IMQ.</w:t>
      </w:r>
    </w:p>
    <w:p w14:paraId="7D435AFD" w14:textId="77777777" w:rsidR="005F5510" w:rsidRPr="004C148B" w:rsidRDefault="005F5510" w:rsidP="004C148B">
      <w:pPr>
        <w:numPr>
          <w:ilvl w:val="1"/>
          <w:numId w:val="18"/>
        </w:numPr>
        <w:jc w:val="both"/>
        <w:rPr>
          <w:rFonts w:ascii="Cambria" w:hAnsi="Cambria"/>
        </w:rPr>
      </w:pPr>
      <w:r w:rsidRPr="004C148B">
        <w:rPr>
          <w:rFonts w:ascii="Cambria" w:hAnsi="Cambria"/>
        </w:rPr>
        <w:t>Transporte/Servicios: Acciona/ILSA, Columna Capital/</w:t>
      </w:r>
      <w:proofErr w:type="spellStart"/>
      <w:r w:rsidRPr="004C148B">
        <w:rPr>
          <w:rFonts w:ascii="Cambria" w:hAnsi="Cambria"/>
        </w:rPr>
        <w:t>Autogrill</w:t>
      </w:r>
      <w:proofErr w:type="spellEnd"/>
      <w:r w:rsidRPr="004C148B">
        <w:rPr>
          <w:rFonts w:ascii="Cambria" w:hAnsi="Cambria"/>
        </w:rPr>
        <w:t>.</w:t>
      </w:r>
    </w:p>
    <w:sectPr w:rsidR="005F5510" w:rsidRPr="004C148B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C2237" w14:textId="77777777" w:rsidR="005F5510" w:rsidRDefault="005F5510" w:rsidP="005F5510">
      <w:pPr>
        <w:spacing w:after="0" w:line="240" w:lineRule="auto"/>
      </w:pPr>
      <w:r>
        <w:separator/>
      </w:r>
    </w:p>
  </w:endnote>
  <w:endnote w:type="continuationSeparator" w:id="0">
    <w:p w14:paraId="603E1C16" w14:textId="77777777" w:rsidR="005F5510" w:rsidRDefault="005F5510" w:rsidP="005F5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4C84F" w14:textId="77777777" w:rsidR="005F5510" w:rsidRDefault="005F5510" w:rsidP="005F5510">
      <w:pPr>
        <w:spacing w:after="0" w:line="240" w:lineRule="auto"/>
      </w:pPr>
      <w:r>
        <w:separator/>
      </w:r>
    </w:p>
  </w:footnote>
  <w:footnote w:type="continuationSeparator" w:id="0">
    <w:p w14:paraId="55DF3209" w14:textId="77777777" w:rsidR="005F5510" w:rsidRDefault="005F5510" w:rsidP="005F5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77" w14:textId="64EE7AC8" w:rsidR="005F5510" w:rsidRPr="005F5510" w:rsidRDefault="005F5510" w:rsidP="005F5510">
    <w:pPr>
      <w:pStyle w:val="Encabezado"/>
      <w:jc w:val="both"/>
      <w:rPr>
        <w:rFonts w:ascii="Palatino Linotype" w:hAnsi="Palatino Linotype"/>
        <w:i/>
        <w:iCs/>
      </w:rPr>
    </w:pPr>
    <w:r w:rsidRPr="005F5510">
      <w:rPr>
        <w:rFonts w:ascii="Palatino Linotype" w:hAnsi="Palatino Linotype"/>
        <w:b/>
        <w:bCs/>
        <w:i/>
        <w:iCs/>
      </w:rPr>
      <w:t>TEMA 27 -</w:t>
    </w:r>
    <w:r w:rsidRPr="005F5510">
      <w:rPr>
        <w:rFonts w:ascii="Palatino Linotype" w:hAnsi="Palatino Linotype"/>
        <w:i/>
        <w:iCs/>
      </w:rPr>
      <w:t xml:space="preserve"> Concentraciones económicas. Normativa nacional. Definición de concentración. Umbrales de notificación y efectos suspensivos de la misma. Definición de los mercados de referencia. Procedimiento nacional de control de concentraciones. Sanciones.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C5346"/>
    <w:multiLevelType w:val="multilevel"/>
    <w:tmpl w:val="CEC4E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1719E2"/>
    <w:multiLevelType w:val="multilevel"/>
    <w:tmpl w:val="5FA0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E434E"/>
    <w:multiLevelType w:val="multilevel"/>
    <w:tmpl w:val="7D6E8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E1314E"/>
    <w:multiLevelType w:val="multilevel"/>
    <w:tmpl w:val="5AA28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A2315C"/>
    <w:multiLevelType w:val="multilevel"/>
    <w:tmpl w:val="A2C60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9E7BA4"/>
    <w:multiLevelType w:val="multilevel"/>
    <w:tmpl w:val="3ECC8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E3374F"/>
    <w:multiLevelType w:val="multilevel"/>
    <w:tmpl w:val="14B49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9725F3"/>
    <w:multiLevelType w:val="multilevel"/>
    <w:tmpl w:val="3AF2D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F47958"/>
    <w:multiLevelType w:val="multilevel"/>
    <w:tmpl w:val="F2E6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B7560"/>
    <w:multiLevelType w:val="multilevel"/>
    <w:tmpl w:val="4E8C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97220"/>
    <w:multiLevelType w:val="multilevel"/>
    <w:tmpl w:val="05862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C10F7"/>
    <w:multiLevelType w:val="multilevel"/>
    <w:tmpl w:val="FE5E0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FF597A"/>
    <w:multiLevelType w:val="multilevel"/>
    <w:tmpl w:val="D3B8E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C10F09"/>
    <w:multiLevelType w:val="multilevel"/>
    <w:tmpl w:val="07F2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A712C9"/>
    <w:multiLevelType w:val="multilevel"/>
    <w:tmpl w:val="A050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D02242"/>
    <w:multiLevelType w:val="multilevel"/>
    <w:tmpl w:val="F9B40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E7257C"/>
    <w:multiLevelType w:val="multilevel"/>
    <w:tmpl w:val="9B2E9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EE45DC"/>
    <w:multiLevelType w:val="multilevel"/>
    <w:tmpl w:val="AED48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244545">
    <w:abstractNumId w:val="2"/>
  </w:num>
  <w:num w:numId="2" w16cid:durableId="677583714">
    <w:abstractNumId w:val="3"/>
  </w:num>
  <w:num w:numId="3" w16cid:durableId="593707116">
    <w:abstractNumId w:val="7"/>
  </w:num>
  <w:num w:numId="4" w16cid:durableId="468743033">
    <w:abstractNumId w:val="10"/>
  </w:num>
  <w:num w:numId="5" w16cid:durableId="223958159">
    <w:abstractNumId w:val="8"/>
  </w:num>
  <w:num w:numId="6" w16cid:durableId="1938555069">
    <w:abstractNumId w:val="6"/>
  </w:num>
  <w:num w:numId="7" w16cid:durableId="1210922493">
    <w:abstractNumId w:val="1"/>
  </w:num>
  <w:num w:numId="8" w16cid:durableId="448209520">
    <w:abstractNumId w:val="16"/>
  </w:num>
  <w:num w:numId="9" w16cid:durableId="2059549077">
    <w:abstractNumId w:val="13"/>
  </w:num>
  <w:num w:numId="10" w16cid:durableId="464854460">
    <w:abstractNumId w:val="12"/>
  </w:num>
  <w:num w:numId="11" w16cid:durableId="305668986">
    <w:abstractNumId w:val="15"/>
  </w:num>
  <w:num w:numId="12" w16cid:durableId="1650986243">
    <w:abstractNumId w:val="5"/>
  </w:num>
  <w:num w:numId="13" w16cid:durableId="37245044">
    <w:abstractNumId w:val="14"/>
  </w:num>
  <w:num w:numId="14" w16cid:durableId="1354378125">
    <w:abstractNumId w:val="11"/>
  </w:num>
  <w:num w:numId="15" w16cid:durableId="2051149935">
    <w:abstractNumId w:val="17"/>
  </w:num>
  <w:num w:numId="16" w16cid:durableId="2092043119">
    <w:abstractNumId w:val="4"/>
  </w:num>
  <w:num w:numId="17" w16cid:durableId="2053071431">
    <w:abstractNumId w:val="9"/>
  </w:num>
  <w:num w:numId="18" w16cid:durableId="557476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510"/>
    <w:rsid w:val="004C148B"/>
    <w:rsid w:val="005803BC"/>
    <w:rsid w:val="005F5510"/>
    <w:rsid w:val="007E0932"/>
    <w:rsid w:val="00A65383"/>
    <w:rsid w:val="00A8675C"/>
    <w:rsid w:val="00C12CFD"/>
    <w:rsid w:val="00CF37A4"/>
    <w:rsid w:val="00D61F60"/>
    <w:rsid w:val="00EC2632"/>
    <w:rsid w:val="00EF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3D583"/>
  <w15:chartTrackingRefBased/>
  <w15:docId w15:val="{B036F2CC-990F-433E-A127-2CA1CABA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5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F5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F5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5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5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5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5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5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5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51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F55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5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51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F55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5510"/>
  </w:style>
  <w:style w:type="paragraph" w:styleId="Piedepgina">
    <w:name w:val="footer"/>
    <w:basedOn w:val="Normal"/>
    <w:link w:val="PiedepginaCar"/>
    <w:uiPriority w:val="99"/>
    <w:unhideWhenUsed/>
    <w:rsid w:val="005F55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5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6</Pages>
  <Words>1264</Words>
  <Characters>6956</Characters>
  <Application>Microsoft Office Word</Application>
  <DocSecurity>0</DocSecurity>
  <Lines>57</Lines>
  <Paragraphs>16</Paragraphs>
  <ScaleCrop>false</ScaleCrop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2025-12-16T19:52:00Z</dcterms:created>
  <dcterms:modified xsi:type="dcterms:W3CDTF">2026-01-16T14:53:00Z</dcterms:modified>
</cp:coreProperties>
</file>