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Frutas 2025</w:t>
      </w:r>
      <w:r>
        <w:rPr>
          <w:rFonts w:ascii="Cambria" w:hAnsi="Cambria" w:cs="Cambria" w:eastAsia="Cambria"/>
          <w:sz w:val="22"/>
        </w:rPr>
        <w:t xml:space="preserve"> (DATACOMEX provisional): </w:t>
      </w:r>
      <w:r>
        <w:rPr>
          <w:rFonts w:ascii="Cambria" w:hAnsi="Cambria" w:cs="Cambria" w:eastAsia="Cambria"/>
          <w:b/>
          <w:sz w:val="22"/>
        </w:rPr>
        <w:t>11.917,8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+9,7 %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15,5 %</w:t>
      </w:r>
      <w:r>
        <w:rPr>
          <w:rFonts w:ascii="Cambria" w:hAnsi="Cambria" w:cs="Cambria" w:eastAsia="Cambria"/>
          <w:sz w:val="22"/>
        </w:rPr>
        <w:t xml:space="preserve"> de las exportaciones agroalimentarias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 xml:space="preserve"> (Grupo de Trabajo para la Internacionalización del Sector Agroalimentario), presidido por la Secretaría General de Agricultura y Alimentación del MAPA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Siete grupos, uno de frutas y hortalizas: barreras comerciales, mercados, coordinación, dimensión empresarial, promoción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bloques: </w:t>
      </w:r>
      <w:r>
        <w:rPr>
          <w:rFonts w:ascii="Cambria" w:hAnsi="Cambria" w:cs="Cambria" w:eastAsia="Cambria"/>
          <w:b/>
          <w:sz w:val="22"/>
        </w:rPr>
        <w:t>productos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normativa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Frutas de hueso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Rosáceas, género </w:t>
      </w:r>
      <w:r>
        <w:rPr>
          <w:rFonts w:ascii="Cambria" w:hAnsi="Cambria" w:cs="Cambria" w:eastAsia="Cambria"/>
          <w:b/>
          <w:sz w:val="22"/>
        </w:rPr>
        <w:t>Prunus</w:t>
      </w:r>
      <w:r>
        <w:rPr>
          <w:rFonts w:ascii="Cambria" w:hAnsi="Cambria" w:cs="Cambria" w:eastAsia="Cambria"/>
          <w:sz w:val="22"/>
        </w:rPr>
        <w:t xml:space="preserve">. Fruto </w:t>
      </w:r>
      <w:r>
        <w:rPr>
          <w:rFonts w:ascii="Cambria" w:hAnsi="Cambria" w:cs="Cambria" w:eastAsia="Cambria"/>
          <w:b/>
          <w:sz w:val="22"/>
        </w:rPr>
        <w:t>drupa</w:t>
      </w:r>
      <w:r>
        <w:rPr>
          <w:rFonts w:ascii="Cambria" w:hAnsi="Cambria" w:cs="Cambria" w:eastAsia="Cambria"/>
          <w:sz w:val="22"/>
        </w:rPr>
        <w:t>: mesocarpio comestible y endocarpio lignificado (hueso)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Melocotón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P. persica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Pavías (DOP Melocotón de Calanda), pulpa amarilla blanda, pulpa blanca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Nectarina</w:t>
      </w:r>
      <w:r>
        <w:rPr>
          <w:rFonts w:ascii="Cambria" w:hAnsi="Cambria" w:cs="Cambria" w:eastAsia="Cambria"/>
          <w:sz w:val="22"/>
        </w:rPr>
        <w:t xml:space="preserve"> (var. </w:t>
      </w:r>
      <w:r>
        <w:rPr>
          <w:rFonts w:ascii="Cambria" w:hAnsi="Cambria" w:cs="Cambria" w:eastAsia="Cambria"/>
          <w:i/>
          <w:sz w:val="22"/>
        </w:rPr>
        <w:t>nectarina</w:t>
      </w:r>
      <w:r>
        <w:rPr>
          <w:rFonts w:ascii="Cambria" w:hAnsi="Cambria" w:cs="Cambria" w:eastAsia="Cambria"/>
          <w:sz w:val="22"/>
        </w:rPr>
        <w:t>): mutación de piel lisa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Big Top, Snow Queen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Paraguayo</w:t>
      </w:r>
      <w:r>
        <w:rPr>
          <w:rFonts w:ascii="Cambria" w:hAnsi="Cambria" w:cs="Cambria" w:eastAsia="Cambria"/>
          <w:sz w:val="22"/>
        </w:rPr>
        <w:t xml:space="preserve"> (var. </w:t>
      </w:r>
      <w:r>
        <w:rPr>
          <w:rFonts w:ascii="Cambria" w:hAnsi="Cambria" w:cs="Cambria" w:eastAsia="Cambria"/>
          <w:i/>
          <w:sz w:val="22"/>
        </w:rPr>
        <w:t>platycarpa</w:t>
      </w:r>
      <w:r>
        <w:rPr>
          <w:rFonts w:ascii="Cambria" w:hAnsi="Cambria" w:cs="Cambria" w:eastAsia="Cambria"/>
          <w:sz w:val="22"/>
        </w:rPr>
        <w:t>): forma plana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Serie UFO, Sweet Cap. Platerina: nectarina plana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Albaricoque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P. armeniaca</w:t>
      </w:r>
      <w:r>
        <w:rPr>
          <w:rFonts w:ascii="Cambria" w:hAnsi="Cambria" w:cs="Cambria" w:eastAsia="Cambria"/>
          <w:sz w:val="22"/>
        </w:rPr>
        <w:t>): maduración temprana, rico en betacarotenos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Currot, Mitger, Canino, Moniquí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Ciruela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P. domestica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i/>
          <w:sz w:val="22"/>
        </w:rPr>
        <w:t>P. salicina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Europeas: Reina Claudia, President. Japonesas: Santa Rosa, Black Amber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Cereza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P. avium</w:t>
      </w:r>
      <w:r>
        <w:rPr>
          <w:rFonts w:ascii="Cambria" w:hAnsi="Cambria" w:cs="Cambria" w:eastAsia="Cambria"/>
          <w:sz w:val="22"/>
        </w:rPr>
        <w:t>): no climatérica, campaña de abril a julio, rica en antocianinas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Burlat, Lapins. Picota del Jerte (DOP Cereza del Jerte)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Productores: </w:t>
      </w: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>, España, Italia, Turquía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valle del Ebro, Murcia, Extremadura, Comunitat Valenciana. Cereza en Cáceres y Aragón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Perecederos, poca conservación frigorífica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Melocotón y nectarina 2025: </w:t>
      </w:r>
      <w:r>
        <w:rPr>
          <w:rFonts w:ascii="Cambria" w:hAnsi="Cambria" w:cs="Cambria" w:eastAsia="Cambria"/>
          <w:b/>
          <w:sz w:val="22"/>
        </w:rPr>
        <w:t>1.243,5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+10,7 %</w:t>
      </w:r>
      <w:r>
        <w:rPr>
          <w:rFonts w:ascii="Cambria" w:hAnsi="Cambria" w:cs="Cambria" w:eastAsia="Cambria"/>
          <w:sz w:val="22"/>
        </w:rPr>
        <w:t>, tercera fruta exportada. Destinos Alemania, Países Bajos,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testimoniales (Marruecos, Chile, Grecia)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Frutas de pepita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Rosáceas, géneros </w:t>
      </w:r>
      <w:r>
        <w:rPr>
          <w:rFonts w:ascii="Cambria" w:hAnsi="Cambria" w:cs="Cambria" w:eastAsia="Cambria"/>
          <w:b/>
          <w:sz w:val="22"/>
        </w:rPr>
        <w:t>Malus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Pyrus</w:t>
      </w:r>
      <w:r>
        <w:rPr>
          <w:rFonts w:ascii="Cambria" w:hAnsi="Cambria" w:cs="Cambria" w:eastAsia="Cambria"/>
          <w:sz w:val="22"/>
        </w:rPr>
        <w:t xml:space="preserve">. Fruto </w:t>
      </w:r>
      <w:r>
        <w:rPr>
          <w:rFonts w:ascii="Cambria" w:hAnsi="Cambria" w:cs="Cambria" w:eastAsia="Cambria"/>
          <w:b/>
          <w:sz w:val="22"/>
        </w:rPr>
        <w:t>pomo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Manzana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M. domestica</w:t>
      </w:r>
      <w:r>
        <w:rPr>
          <w:rFonts w:ascii="Cambria" w:hAnsi="Cambria" w:cs="Cambria" w:eastAsia="Cambria"/>
          <w:sz w:val="22"/>
        </w:rPr>
        <w:t>): climatérica, buena conservación en atmósfera controlada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Golden, Granny Smith, Gala, Fuji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P. communis</w:t>
      </w:r>
      <w:r>
        <w:rPr>
          <w:rFonts w:ascii="Cambria" w:hAnsi="Cambria" w:cs="Cambria" w:eastAsia="Cambria"/>
          <w:sz w:val="22"/>
        </w:rPr>
        <w:t>): climatérica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Blanquilla, Williams, Conferencia (la más cultivada en España)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Productores: China, UE (Polonia, Italia, Francia), EE. UU.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Cataluña, Aragón, La Rioja. DOP Pera de Lleida, IGP Poma de Girona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Exportación 2025: manzana </w:t>
      </w:r>
      <w:r>
        <w:rPr>
          <w:rFonts w:ascii="Cambria" w:hAnsi="Cambria" w:cs="Cambria" w:eastAsia="Cambria"/>
          <w:b/>
          <w:sz w:val="22"/>
        </w:rPr>
        <w:t>102 M€</w:t>
      </w:r>
      <w:r>
        <w:rPr>
          <w:rFonts w:ascii="Cambria" w:hAnsi="Cambria" w:cs="Cambria" w:eastAsia="Cambria"/>
          <w:sz w:val="22"/>
        </w:rPr>
        <w:t xml:space="preserve">, pera </w:t>
      </w:r>
      <w:r>
        <w:rPr>
          <w:rFonts w:ascii="Cambria" w:hAnsi="Cambria" w:cs="Cambria" w:eastAsia="Cambria"/>
          <w:b/>
          <w:sz w:val="22"/>
        </w:rPr>
        <w:t>99,6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Importación 2025: manzana </w:t>
      </w:r>
      <w:r>
        <w:rPr>
          <w:rFonts w:ascii="Cambria" w:hAnsi="Cambria" w:cs="Cambria" w:eastAsia="Cambria"/>
          <w:b/>
          <w:sz w:val="22"/>
        </w:rPr>
        <w:t>219,7 M€</w:t>
      </w:r>
      <w:r>
        <w:rPr>
          <w:rFonts w:ascii="Cambria" w:hAnsi="Cambria" w:cs="Cambria" w:eastAsia="Cambria"/>
          <w:sz w:val="22"/>
        </w:rPr>
        <w:t xml:space="preserve">, pera </w:t>
      </w:r>
      <w:r>
        <w:rPr>
          <w:rFonts w:ascii="Cambria" w:hAnsi="Cambria" w:cs="Cambria" w:eastAsia="Cambria"/>
          <w:b/>
          <w:sz w:val="22"/>
        </w:rPr>
        <w:t>85,5 M€</w:t>
      </w:r>
      <w:r>
        <w:rPr>
          <w:rFonts w:ascii="Cambria" w:hAnsi="Cambria" w:cs="Cambria" w:eastAsia="Cambria"/>
          <w:sz w:val="22"/>
        </w:rPr>
        <w:t xml:space="preserve"> (UE y Chile)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Saldo tradicionalmente deficitario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Otras frutas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Fresa y fresón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Fragaria × ananassa</w:t>
      </w:r>
      <w:r>
        <w:rPr>
          <w:rFonts w:ascii="Cambria" w:hAnsi="Cambria" w:cs="Cambria" w:eastAsia="Cambria"/>
          <w:sz w:val="22"/>
        </w:rPr>
        <w:t>): falso fruto (eterio), no climatérica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Huelva: Fortuna, Rociera. Día corto y día neutro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Uva de mesa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Vitis vinifera</w:t>
      </w:r>
      <w:r>
        <w:rPr>
          <w:rFonts w:ascii="Cambria" w:hAnsi="Cambria" w:cs="Cambria" w:eastAsia="Cambria"/>
          <w:sz w:val="22"/>
        </w:rPr>
        <w:t>): baya, no climatérica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 semilla: Italia, Red Globe, Aledo (DOP Vinalopó). Apirenas: Superior Seedless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Melón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Cucumis melo</w:t>
      </w:r>
      <w:r>
        <w:rPr>
          <w:rFonts w:ascii="Cambria" w:hAnsi="Cambria" w:cs="Cambria" w:eastAsia="Cambria"/>
          <w:sz w:val="22"/>
        </w:rPr>
        <w:t>): pepónide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Piel de Sapo, Galia, Cantaloup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Sandía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Citrullus lanatus</w:t>
      </w:r>
      <w:r>
        <w:rPr>
          <w:rFonts w:ascii="Cambria" w:hAnsi="Cambria" w:cs="Cambria" w:eastAsia="Cambria"/>
          <w:sz w:val="22"/>
        </w:rPr>
        <w:t>): pepónide, licopeno, no climatérica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Sugar Baby, Crimson, triploides sin semillas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Productores: China. España primer productor y exportador de fresa de la UE (Huelva)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Melón: España </w:t>
      </w:r>
      <w:r>
        <w:rPr>
          <w:rFonts w:ascii="Cambria" w:hAnsi="Cambria" w:cs="Cambria" w:eastAsia="Cambria"/>
          <w:b/>
          <w:sz w:val="22"/>
        </w:rPr>
        <w:t>71 %</w:t>
      </w:r>
      <w:r>
        <w:rPr>
          <w:rFonts w:ascii="Cambria" w:hAnsi="Cambria" w:cs="Cambria" w:eastAsia="Cambria"/>
          <w:sz w:val="22"/>
        </w:rPr>
        <w:t xml:space="preserve"> de la exportación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Fresa </w:t>
      </w:r>
      <w:r>
        <w:rPr>
          <w:rFonts w:ascii="Cambria" w:hAnsi="Cambria" w:cs="Cambria" w:eastAsia="Cambria"/>
          <w:b/>
          <w:sz w:val="22"/>
        </w:rPr>
        <w:t>~11 %</w:t>
      </w:r>
      <w:r>
        <w:rPr>
          <w:rFonts w:ascii="Cambria" w:hAnsi="Cambria" w:cs="Cambria" w:eastAsia="Cambria"/>
          <w:sz w:val="22"/>
        </w:rPr>
        <w:t xml:space="preserve"> de las exportaciones de frutas frescas. Melón y sandía </w:t>
      </w:r>
      <w:r>
        <w:rPr>
          <w:rFonts w:ascii="Cambria" w:hAnsi="Cambria" w:cs="Cambria" w:eastAsia="Cambria"/>
          <w:b/>
          <w:sz w:val="22"/>
        </w:rPr>
        <w:t>~13 %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Importaciones: fresa 37,5 M€ (Marruecos), uva 245 M€ (Perú, Chile, Italia)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Notable superávit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Frutas tropicales y subtropicales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Sensibles al </w:t>
      </w:r>
      <w:r>
        <w:rPr>
          <w:rFonts w:ascii="Cambria" w:hAnsi="Cambria" w:cs="Cambria" w:eastAsia="Cambria"/>
          <w:b/>
          <w:sz w:val="22"/>
        </w:rPr>
        <w:t>frío</w:t>
      </w:r>
      <w:r>
        <w:rPr>
          <w:rFonts w:ascii="Cambria" w:hAnsi="Cambria" w:cs="Cambria" w:eastAsia="Cambria"/>
          <w:sz w:val="22"/>
        </w:rPr>
        <w:t>. Kiwi, templado, incluido por convención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Plátano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Musa acuminata</w:t>
      </w:r>
      <w:r>
        <w:rPr>
          <w:rFonts w:ascii="Cambria" w:hAnsi="Cambria" w:cs="Cambria" w:eastAsia="Cambria"/>
          <w:sz w:val="22"/>
        </w:rPr>
        <w:t>, Cavendish): climatérico, IGP Plátano de Canarias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Gros Michel (Panamá raza 1), Cavendish (amenaza TR4)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Mango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Mangifera indica</w:t>
      </w:r>
      <w:r>
        <w:rPr>
          <w:rFonts w:ascii="Cambria" w:hAnsi="Cambria" w:cs="Cambria" w:eastAsia="Cambria"/>
          <w:sz w:val="22"/>
        </w:rPr>
        <w:t>): climatérico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Tommy Atkins, Kent, Osteen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Piña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Ananas comosus</w:t>
      </w:r>
      <w:r>
        <w:rPr>
          <w:rFonts w:ascii="Cambria" w:hAnsi="Cambria" w:cs="Cambria" w:eastAsia="Cambria"/>
          <w:sz w:val="22"/>
        </w:rPr>
        <w:t>): sorosis, no climatérica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MD-2, Cayena Lisa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Aguacate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Persea americana</w:t>
      </w:r>
      <w:r>
        <w:rPr>
          <w:rFonts w:ascii="Cambria" w:hAnsi="Cambria" w:cs="Cambria" w:eastAsia="Cambria"/>
          <w:sz w:val="22"/>
        </w:rPr>
        <w:t>): climatérico, índice de materia seca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Hass, Fuerte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Kiwi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Actinidia</w:t>
      </w:r>
      <w:r>
        <w:rPr>
          <w:rFonts w:ascii="Cambria" w:hAnsi="Cambria" w:cs="Cambria" w:eastAsia="Cambria"/>
          <w:sz w:val="22"/>
        </w:rPr>
        <w:t>): climatérico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Hayward (verde), SunGold (amarillo)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Grupo deficitario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Plátano 2025: </w:t>
      </w:r>
      <w:r>
        <w:rPr>
          <w:rFonts w:ascii="Cambria" w:hAnsi="Cambria" w:cs="Cambria" w:eastAsia="Cambria"/>
          <w:b/>
          <w:sz w:val="22"/>
        </w:rPr>
        <w:t>92,4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-17,5 %</w:t>
      </w:r>
      <w:r>
        <w:rPr>
          <w:rFonts w:ascii="Cambria" w:hAnsi="Cambria" w:cs="Cambria" w:eastAsia="Cambria"/>
          <w:sz w:val="22"/>
        </w:rPr>
        <w:t>. Importa de Costa 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Aguacate 2025: </w:t>
      </w:r>
      <w:r>
        <w:rPr>
          <w:rFonts w:ascii="Cambria" w:hAnsi="Cambria" w:cs="Cambria" w:eastAsia="Cambria"/>
          <w:b/>
          <w:sz w:val="22"/>
        </w:rPr>
        <w:t>483,5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+8,5 %</w:t>
      </w:r>
      <w:r>
        <w:rPr>
          <w:rFonts w:ascii="Cambria" w:hAnsi="Cambria" w:cs="Cambria" w:eastAsia="Cambria"/>
          <w:sz w:val="22"/>
        </w:rPr>
        <w:t>, con reexpedición. Importa de Perú, Chile, Marruecos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Kiwi en Galicia y cornisa cantábrica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características externas e internas que determinan la aptitud para comercializar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de la UE: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>, aplicable desde el 1 de enero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 general</w:t>
      </w:r>
      <w:r>
        <w:rPr>
          <w:rFonts w:ascii="Cambria" w:hAnsi="Cambria" w:cs="Cambria" w:eastAsia="Cambria"/>
          <w:sz w:val="22"/>
        </w:rPr>
        <w:t>: albaricoque, ciruela, cereza, melón, sandía, mango, piña, aguacate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específicas</w:t>
      </w:r>
      <w:r>
        <w:rPr>
          <w:rFonts w:ascii="Cambria" w:hAnsi="Cambria" w:cs="Cambria" w:eastAsia="Cambria"/>
          <w:sz w:val="22"/>
        </w:rPr>
        <w:t xml:space="preserve">: manzana, pera, melocotón, nectarina, fresa, uva, kiwi, plátano. Categorías </w:t>
      </w:r>
      <w:r>
        <w:rPr>
          <w:rFonts w:ascii="Cambria" w:hAnsi="Cambria" w:cs="Cambria" w:eastAsia="Cambria"/>
          <w:b/>
          <w:sz w:val="22"/>
        </w:rPr>
        <w:t>Extra, I y II</w:t>
      </w:r>
      <w:r>
        <w:rPr>
          <w:rFonts w:ascii="Cambria" w:hAnsi="Cambria" w:cs="Cambria" w:eastAsia="Cambria"/>
          <w:sz w:val="22"/>
        </w:rPr>
        <w:t>, calibre, tolerancias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Requisitos mínimos</w:t>
      </w:r>
      <w:r>
        <w:rPr>
          <w:rFonts w:ascii="Cambria" w:hAnsi="Cambria" w:cs="Cambria" w:eastAsia="Cambria"/>
          <w:sz w:val="22"/>
        </w:rPr>
        <w:t>: enteros, sanos, limpios, prácticamente exentos de plagas y de sus daños, sin humedad anormal, sin olores extraños, aptos para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Madurez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Fisiológica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comercial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de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Comportamiento respiratorio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Climatéricos</w:t>
      </w:r>
      <w:r>
        <w:rPr>
          <w:rFonts w:ascii="Cambria" w:hAnsi="Cambria" w:cs="Cambria" w:eastAsia="Cambria"/>
          <w:sz w:val="22"/>
        </w:rPr>
        <w:t>: manzana, pera, melocotón, albaricoque, ciruela, plátano, mango, aguacate, kiwi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climatéricos</w:t>
      </w:r>
      <w:r>
        <w:rPr>
          <w:rFonts w:ascii="Cambria" w:hAnsi="Cambria" w:cs="Cambria" w:eastAsia="Cambria"/>
          <w:sz w:val="22"/>
        </w:rPr>
        <w:t>: cereza, fresa, uva, sandía, piña. Melón variable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Índices de recolección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Firmeza (penetrómetro), color, </w:t>
      </w:r>
      <w:r>
        <w:rPr>
          <w:rFonts w:ascii="Cambria" w:hAnsi="Cambria" w:cs="Cambria" w:eastAsia="Cambria"/>
          <w:b/>
          <w:sz w:val="22"/>
        </w:rPr>
        <w:t>grados Brix</w:t>
      </w:r>
      <w:r>
        <w:rPr>
          <w:rFonts w:ascii="Cambria" w:hAnsi="Cambria" w:cs="Cambria" w:eastAsia="Cambria"/>
          <w:sz w:val="22"/>
        </w:rPr>
        <w:t>, acidez, almidón, materia seca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exigibles si la norma los fija (Brix en kiwi y uva)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ámbitos distintos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Sanidad vegetal</w:t>
      </w:r>
      <w:r>
        <w:rPr>
          <w:rFonts w:ascii="Cambria" w:hAnsi="Cambria" w:cs="Cambria" w:eastAsia="Cambria"/>
          <w:sz w:val="22"/>
        </w:rPr>
        <w:t>: Reglamento (UE) 2016/2031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alimentaria</w:t>
      </w:r>
      <w:r>
        <w:rPr>
          <w:rFonts w:ascii="Cambria" w:hAnsi="Cambria" w:cs="Cambria" w:eastAsia="Cambria"/>
          <w:sz w:val="22"/>
        </w:rPr>
        <w:t>: LMR y contaminantes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 y normas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: Reglamento Delegado </w:t>
      </w:r>
      <w:r>
        <w:rPr>
          <w:rFonts w:ascii="Cambria" w:hAnsi="Cambria" w:cs="Cambria" w:eastAsia="Cambria"/>
          <w:b/>
          <w:sz w:val="22"/>
        </w:rPr>
        <w:t>2023/2429</w:t>
      </w:r>
      <w:r>
        <w:rPr>
          <w:rFonts w:ascii="Cambria" w:hAnsi="Cambria" w:cs="Cambria" w:eastAsia="Cambria"/>
          <w:sz w:val="22"/>
        </w:rPr>
        <w:t xml:space="preserve"> y Reglamento de Ejecución </w:t>
      </w:r>
      <w:r>
        <w:rPr>
          <w:rFonts w:ascii="Cambria" w:hAnsi="Cambria" w:cs="Cambria" w:eastAsia="Cambria"/>
          <w:b/>
          <w:sz w:val="22"/>
        </w:rPr>
        <w:t>2023/2430</w:t>
      </w:r>
      <w:r>
        <w:rPr>
          <w:rFonts w:ascii="Cambria" w:hAnsi="Cambria" w:cs="Cambria" w:eastAsia="Cambria"/>
          <w:sz w:val="22"/>
        </w:rPr>
        <w:t xml:space="preserve"> (controles de conformidad)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(WP.7). Esquema: definición, calidad, calibrado, tolerancias, presentación, marcado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en todas las fases y a terceros países (normas UE o equivalentes). </w:t>
      </w: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coordinadora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Programas operativos con fondo operativo, intervención sectorial del 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Defensa y promoción. HORTIESPAÑA, INTERFRESA, INTERCITRUS. Asociaciones: FEPEX, FRESHUELVA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prevención y gestión de crisis, retirada con compensación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Precios de entrada</w:t>
      </w:r>
      <w:r>
        <w:rPr>
          <w:rFonts w:ascii="Cambria" w:hAnsi="Cambria" w:cs="Cambria" w:eastAsia="Cambria"/>
          <w:sz w:val="22"/>
        </w:rPr>
        <w:t xml:space="preserve"> en manzana, pera, melocotón, cereza, ciruela, albaricoque y uva de mesa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internacional y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CEPE/ONU</w:t>
      </w:r>
      <w:r>
        <w:rPr>
          <w:rFonts w:ascii="Cambria" w:hAnsi="Cambria" w:cs="Cambria" w:eastAsia="Cambria"/>
          <w:sz w:val="22"/>
        </w:rPr>
        <w:t xml:space="preserve"> (WP.7): normas voluntarias, base técnica de las de la UE. </w:t>
      </w:r>
      <w:r>
        <w:rPr>
          <w:rFonts w:ascii="Cambria" w:hAnsi="Cambria" w:cs="Cambria" w:eastAsia="Cambria"/>
          <w:b/>
          <w:sz w:val="22"/>
        </w:rPr>
        <w:t>Acuerdo de 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: folletos interpretativos con fotografías y cartas colorimétricas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(FAO y OMS): normas voluntarias, referencia en Acuerdos MSF y OTC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Regímenes voluntarios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UNE 155000, AENOR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1201/2002</w:t>
      </w:r>
      <w:r>
        <w:rPr>
          <w:rFonts w:ascii="Cambria" w:hAnsi="Cambria" w:cs="Cambria" w:eastAsia="Cambria"/>
          <w:sz w:val="22"/>
        </w:rPr>
        <w:t>, Orden APA/1/2004 (logotipo)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aplicable desde 2022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Certificado de inspección (COI) electrónico en TRACES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SOIVRE controla la importación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 (supraautonómicas, AICA)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Protocolos privados</w:t>
      </w:r>
      <w:r>
        <w:rPr>
          <w:rFonts w:ascii="Cambria" w:hAnsi="Cambria" w:cs="Cambria" w:eastAsia="Cambria"/>
          <w:sz w:val="22"/>
        </w:rPr>
        <w:t>: GLOBALG.A.P., IFS, BRCGS, SQF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general y control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Legislación alimentaria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>: principios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Reglamentos (CE) 852/2004 y 853/2004</w:t>
      </w:r>
      <w:r>
        <w:rPr>
          <w:rFonts w:ascii="Cambria" w:hAnsi="Cambria" w:cs="Cambria" w:eastAsia="Cambria"/>
          <w:sz w:val="22"/>
        </w:rPr>
        <w:t>: paquete de higiene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LMR de plaguicidas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: controles oficiales. </w:t>
      </w:r>
      <w:r>
        <w:rPr>
          <w:rFonts w:ascii="Cambria" w:hAnsi="Cambria" w:cs="Cambria" w:eastAsia="Cambria"/>
          <w:b/>
          <w:sz w:val="22"/>
        </w:rPr>
        <w:t>Real Decreto 562/2025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alimentaria, régimen sancionador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Envases: </w:t>
      </w:r>
      <w:r>
        <w:rPr>
          <w:rFonts w:ascii="Cambria" w:hAnsi="Cambria" w:cs="Cambria" w:eastAsia="Cambria"/>
          <w:b/>
          <w:sz w:val="22"/>
        </w:rPr>
        <w:t>Reglamento (UE) 2025/40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RD 1055/2022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SOIVRE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>, inspección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Anexo sustituido por la </w:t>
      </w:r>
      <w:r>
        <w:rPr>
          <w:rFonts w:ascii="Cambria" w:hAnsi="Cambria" w:cs="Cambria" w:eastAsia="Cambria"/>
          <w:b/>
          <w:sz w:val="22"/>
        </w:rPr>
        <w:t>Orden ECM/1002/2026</w:t>
      </w:r>
      <w:r>
        <w:rPr>
          <w:rFonts w:ascii="Cambria" w:hAnsi="Cambria" w:cs="Cambria" w:eastAsia="Cambria"/>
          <w:sz w:val="22"/>
        </w:rPr>
        <w:t>, adaptado a los Reglamentos 2023/2429 y 2023/2430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conformidad, o solo país de origen (frutos secos sin cáscara, desecadas, cortadas)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de riesgos. Certificado de conformidad necesario para el despacho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Sector </w:t>
      </w:r>
      <w:r>
        <w:rPr>
          <w:rFonts w:ascii="Cambria" w:hAnsi="Cambria" w:cs="Cambria" w:eastAsia="Cambria"/>
          <w:b/>
          <w:sz w:val="22"/>
        </w:rPr>
        <w:t>estratégico</w:t>
      </w:r>
      <w:r>
        <w:rPr>
          <w:rFonts w:ascii="Cambria" w:hAnsi="Cambria" w:cs="Cambria" w:eastAsia="Cambria"/>
          <w:sz w:val="22"/>
        </w:rPr>
        <w:t xml:space="preserve"> y superavitario, con España entre los grandes exportadores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: Acuerdo Interino de Comercio, firmado en enero de 2026, aplicación provisional desde el </w:t>
      </w:r>
      <w:r>
        <w:rPr>
          <w:rFonts w:ascii="Cambria" w:hAnsi="Cambria" w:cs="Cambria" w:eastAsia="Cambria"/>
          <w:b/>
          <w:sz w:val="22"/>
        </w:rPr>
        <w:t>1 de mayo de 2026</w:t>
      </w:r>
      <w:r>
        <w:rPr>
          <w:rFonts w:ascii="Cambria" w:hAnsi="Cambria" w:cs="Cambria" w:eastAsia="Cambria"/>
          <w:sz w:val="22"/>
        </w:rPr>
        <w:t>. Acuerdo de Asociación pendiente de ratificación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Liberalización progresiva, contingentes y salvaguardia bilateral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Brasil (melón, mango, uva), Argentina (pera, manzana)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Estrategia: diferenciación, innovación varietal, calidad, sostenibilidad. Estándares equivalentes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control de conformidad del SOIVRE garantiza las mismas reglas de calidad comercial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 – Sector de frutos frescos, excepto cítricos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 – Sector de frutos frescos, excepto cítricos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