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Aceites y grasas comestibles</w:t>
      </w:r>
      <w:r>
        <w:rPr>
          <w:rFonts w:ascii="Cambria" w:hAnsi="Cambria" w:cs="Cambria" w:eastAsia="Cambria"/>
          <w:sz w:val="22"/>
        </w:rPr>
        <w:t>: mezclas de ésteres de ácidos grasos con glicerina, de origen vegetal y animal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Aceite: líquido a temperatura ambiente (más ácidos grasos insaturados)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Grasa: sólida (más ácidos grasos saturados)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80 %</w:t>
      </w:r>
      <w:r>
        <w:rPr>
          <w:rFonts w:ascii="Cambria" w:hAnsi="Cambria" w:cs="Cambria" w:eastAsia="Cambria"/>
          <w:sz w:val="22"/>
        </w:rPr>
        <w:t xml:space="preserve"> a alimentación humana, también usos industriales y alimentación animal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 xml:space="preserve">: primer productor, consumidor y exportador de </w:t>
      </w:r>
      <w:r>
        <w:rPr>
          <w:rFonts w:ascii="Cambria" w:hAnsi="Cambria" w:cs="Cambria" w:eastAsia="Cambria"/>
          <w:b/>
          <w:sz w:val="22"/>
        </w:rPr>
        <w:t>aceite de oliva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GTISA</w:t>
      </w:r>
      <w:r>
        <w:rPr>
          <w:rFonts w:ascii="Cambria" w:hAnsi="Cambria" w:cs="Cambria" w:eastAsia="Cambria"/>
          <w:sz w:val="22"/>
        </w:rPr>
        <w:t xml:space="preserve"> (Grupo de Trabajo para la Internacionalización del Sector Agroalimentario), presidido por la Secretaría General de Agricultura y Alimentación del MAPA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7 grupos de trabajo, uno de </w:t>
      </w:r>
      <w:r>
        <w:rPr>
          <w:rFonts w:ascii="Cambria" w:hAnsi="Cambria" w:cs="Cambria" w:eastAsia="Cambria"/>
          <w:b/>
          <w:sz w:val="22"/>
        </w:rPr>
        <w:t>Aceites y Aceituna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Objetivos: eliminar barreras comerciales, consolidar y abrir mercados, coordinar organismos, mejorar la información, aumentar la dimensión empresarial, promocionar, adaptar 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Productos: </w:t>
      </w:r>
      <w:r>
        <w:rPr>
          <w:rFonts w:ascii="Cambria" w:hAnsi="Cambria" w:cs="Cambria" w:eastAsia="Cambria"/>
          <w:b/>
          <w:sz w:val="22"/>
        </w:rPr>
        <w:t>aceite de oliva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aceite de semillas oleaginosas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grasas comestibles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Clasificación inicial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Aceites: vegetales comestibles (de fruto o de semilla), no comestibles (lino) y animales (pescado)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Grasas: vegetales (coco, palmiste, palma) y animales (manteca de cerdo, sebos)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DESCRIPCIÓN, DESIGNACIÓN, FACTORES DE CALIDAD, ANÁLISIS SECTORIAL Y NORMATIVA APLICABLE DE LOS PRINCIPALES PRODUCTOS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Aceite de oliva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Zumo de aceitunas sanas (</w:t>
      </w:r>
      <w:r>
        <w:rPr>
          <w:rFonts w:ascii="Cambria" w:hAnsi="Cambria" w:cs="Cambria" w:eastAsia="Cambria"/>
          <w:i/>
          <w:sz w:val="22"/>
        </w:rPr>
        <w:t>Olea europaea</w:t>
      </w:r>
      <w:r>
        <w:rPr>
          <w:rFonts w:ascii="Cambria" w:hAnsi="Cambria" w:cs="Cambria" w:eastAsia="Cambria"/>
          <w:sz w:val="22"/>
        </w:rPr>
        <w:t>), sin aditivos ni disolventes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Variedades: hojiblanca, cornicabra, picual, arbequina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Tipos (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) según procedimiento y acidez libre en ácido oleico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Virgen</w:t>
      </w:r>
      <w:r>
        <w:rPr>
          <w:rFonts w:ascii="Cambria" w:hAnsi="Cambria" w:cs="Cambria" w:eastAsia="Cambria"/>
          <w:sz w:val="22"/>
        </w:rPr>
        <w:t xml:space="preserve"> (solo medios mecánicos o físicos)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Virgen extra</w:t>
      </w:r>
      <w:r>
        <w:rPr>
          <w:rFonts w:ascii="Cambria" w:hAnsi="Cambria" w:cs="Cambria" w:eastAsia="Cambria"/>
          <w:sz w:val="22"/>
        </w:rPr>
        <w:t xml:space="preserve">: acidez máxima </w:t>
      </w:r>
      <w:r>
        <w:rPr>
          <w:rFonts w:ascii="Cambria" w:hAnsi="Cambria" w:cs="Cambria" w:eastAsia="Cambria"/>
          <w:b/>
          <w:sz w:val="22"/>
        </w:rPr>
        <w:t>0,8 %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Virgen</w:t>
      </w:r>
      <w:r>
        <w:rPr>
          <w:rFonts w:ascii="Cambria" w:hAnsi="Cambria" w:cs="Cambria" w:eastAsia="Cambria"/>
          <w:sz w:val="22"/>
        </w:rPr>
        <w:t xml:space="preserve">: máxima </w:t>
      </w:r>
      <w:r>
        <w:rPr>
          <w:rFonts w:ascii="Cambria" w:hAnsi="Cambria" w:cs="Cambria" w:eastAsia="Cambria"/>
          <w:b/>
          <w:sz w:val="22"/>
        </w:rPr>
        <w:t>2 %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Lampante</w:t>
      </w:r>
      <w:r>
        <w:rPr>
          <w:rFonts w:ascii="Cambria" w:hAnsi="Cambria" w:cs="Cambria" w:eastAsia="Cambria"/>
          <w:sz w:val="22"/>
        </w:rPr>
        <w:t>: superior al 2 %, no apto para consumo directo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Refinado</w:t>
      </w:r>
      <w:r>
        <w:rPr>
          <w:rFonts w:ascii="Cambria" w:hAnsi="Cambria" w:cs="Cambria" w:eastAsia="Cambria"/>
          <w:sz w:val="22"/>
        </w:rPr>
        <w:t xml:space="preserve">: acidez inferior al </w:t>
      </w:r>
      <w:r>
        <w:rPr>
          <w:rFonts w:ascii="Cambria" w:hAnsi="Cambria" w:cs="Cambria" w:eastAsia="Cambria"/>
          <w:b/>
          <w:sz w:val="22"/>
        </w:rPr>
        <w:t>0,3 %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Aceite de oliva</w:t>
      </w:r>
      <w:r>
        <w:rPr>
          <w:rFonts w:ascii="Cambria" w:hAnsi="Cambria" w:cs="Cambria" w:eastAsia="Cambria"/>
          <w:sz w:val="22"/>
        </w:rPr>
        <w:t xml:space="preserve">: refinado más virgen no lampante, acidez inferior al </w:t>
      </w:r>
      <w:r>
        <w:rPr>
          <w:rFonts w:ascii="Cambria" w:hAnsi="Cambria" w:cs="Cambria" w:eastAsia="Cambria"/>
          <w:b/>
          <w:sz w:val="22"/>
        </w:rPr>
        <w:t>1 %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Orujo</w:t>
      </w:r>
      <w:r>
        <w:rPr>
          <w:rFonts w:ascii="Cambria" w:hAnsi="Cambria" w:cs="Cambria" w:eastAsia="Cambria"/>
          <w:sz w:val="22"/>
        </w:rPr>
        <w:t>: crudo (disolvente, hexano), refinado (&lt; 0,3 %) y aceite de orujo de oliva (mezcla con virgen, &lt; 1 %)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Comercialización autorizada: virgen extra, virgen, aceite de oliva y aceite de orujo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de 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 de la aceituna y tres fases: obtención, refinado y envasado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2022/2104</w:t>
      </w:r>
      <w:r>
        <w:rPr>
          <w:rFonts w:ascii="Cambria" w:hAnsi="Cambria" w:cs="Cambria" w:eastAsia="Cambria"/>
          <w:sz w:val="22"/>
        </w:rPr>
        <w:t xml:space="preserve">, normas de comercialización · </w:t>
      </w:r>
      <w:r>
        <w:rPr>
          <w:rFonts w:ascii="Cambria" w:hAnsi="Cambria" w:cs="Cambria" w:eastAsia="Cambria"/>
          <w:b/>
          <w:sz w:val="22"/>
        </w:rPr>
        <w:t>Reglamento de Ejecución (UE) 2022/2105</w:t>
      </w:r>
      <w:r>
        <w:rPr>
          <w:rFonts w:ascii="Cambria" w:hAnsi="Cambria" w:cs="Cambria" w:eastAsia="Cambria"/>
          <w:sz w:val="22"/>
        </w:rPr>
        <w:t>, controles de conformidad y métodos de análisis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Autenticidad y ausencia de mezclas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Mezcla con otros aceites vegetales: fraude, prohibida en la UE (permitida solo para exportación a terceros)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Orujo: ceras y alcoholes alifáticos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Esterificados: ácidos grasos en posición 2 del triglicérido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Desodorizados: alquil ésteres (FAMEs, FAEEs)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Parámetros: acidez, peróxidos, absorbancia UV (K232, K268/K270, ΔK), humedad e impurezas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Contaminantes: antioxidantes prohibidos en vírgenes, residuos de plaguicidas (LMR)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Panel de cata</w:t>
      </w:r>
      <w:r>
        <w:rPr>
          <w:rFonts w:ascii="Cambria" w:hAnsi="Cambria" w:cs="Cambria" w:eastAsia="Cambria"/>
          <w:sz w:val="22"/>
        </w:rPr>
        <w:t xml:space="preserve"> oficial, método COI, mediana del defecto igual a cero en AOVE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Envases (</w:t>
      </w:r>
      <w:r>
        <w:rPr>
          <w:rFonts w:ascii="Cambria" w:hAnsi="Cambria" w:cs="Cambria" w:eastAsia="Cambria"/>
          <w:b/>
          <w:sz w:val="22"/>
        </w:rPr>
        <w:t>RD 1055/2022</w:t>
      </w:r>
      <w:r>
        <w:rPr>
          <w:rFonts w:ascii="Cambria" w:hAnsi="Cambria" w:cs="Cambria" w:eastAsia="Cambria"/>
          <w:sz w:val="22"/>
        </w:rPr>
        <w:t>) y etiquetado con origen obligatorio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Campaña 2024/2025: récord mundial de </w:t>
      </w:r>
      <w:r>
        <w:rPr>
          <w:rFonts w:ascii="Cambria" w:hAnsi="Cambria" w:cs="Cambria" w:eastAsia="Cambria"/>
          <w:b/>
          <w:sz w:val="22"/>
        </w:rPr>
        <w:t>3,5 Mt</w:t>
      </w:r>
      <w:r>
        <w:rPr>
          <w:rFonts w:ascii="Cambria" w:hAnsi="Cambria" w:cs="Cambria" w:eastAsia="Cambria"/>
          <w:sz w:val="22"/>
        </w:rPr>
        <w:t xml:space="preserve"> (COI), +38,6 %. UE 60 %, no UE 40 %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 1,4 Mt (40 % mundial, 65 % UE), +65 % tras dos campañas de sequía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400.000 propietarios, 2,4 millones de ha, </w:t>
      </w:r>
      <w:r>
        <w:rPr>
          <w:rFonts w:ascii="Cambria" w:hAnsi="Cambria" w:cs="Cambria" w:eastAsia="Cambria"/>
          <w:b/>
          <w:sz w:val="22"/>
        </w:rPr>
        <w:t>1.835 almazaras</w:t>
      </w:r>
      <w:r>
        <w:rPr>
          <w:rFonts w:ascii="Cambria" w:hAnsi="Cambria" w:cs="Cambria" w:eastAsia="Cambria"/>
          <w:sz w:val="22"/>
        </w:rPr>
        <w:t>. Andalucía más del 75 %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Competidores: Grecia y Portugal al alza, Italia -24,5 %, Turquía y Túnez emergentes (hasta 15 %), Marruecos, Argelia, Australia, Argentina, Chile, México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Precios en caída desde máximos de más de 9 €/kg. Demanda mundial +26 %, consumo español +37 %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Exportaciones</w:t>
      </w:r>
      <w:r>
        <w:rPr>
          <w:rFonts w:ascii="Cambria" w:hAnsi="Cambria" w:cs="Cambria" w:eastAsia="Cambria"/>
          <w:sz w:val="22"/>
        </w:rPr>
        <w:t xml:space="preserve">: casi </w:t>
      </w:r>
      <w:r>
        <w:rPr>
          <w:rFonts w:ascii="Cambria" w:hAnsi="Cambria" w:cs="Cambria" w:eastAsia="Cambria"/>
          <w:b/>
          <w:sz w:val="22"/>
        </w:rPr>
        <w:t>5.000 M€</w:t>
      </w:r>
      <w:r>
        <w:rPr>
          <w:rFonts w:ascii="Cambria" w:hAnsi="Cambria" w:cs="Cambria" w:eastAsia="Cambria"/>
          <w:sz w:val="22"/>
        </w:rPr>
        <w:t>, cerca del 10 % de las agroalimentarias. Primer exportador mundial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Destinos: Italia, EEUU, Portugal, Francia, Reino Unido, Australia, China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Reto estructural: más del </w:t>
      </w:r>
      <w:r>
        <w:rPr>
          <w:rFonts w:ascii="Cambria" w:hAnsi="Cambria" w:cs="Cambria" w:eastAsia="Cambria"/>
          <w:b/>
          <w:sz w:val="22"/>
        </w:rPr>
        <w:t>60 % a granel</w:t>
      </w:r>
      <w:r>
        <w:rPr>
          <w:rFonts w:ascii="Cambria" w:hAnsi="Cambria" w:cs="Cambria" w:eastAsia="Cambria"/>
          <w:sz w:val="22"/>
        </w:rPr>
        <w:t xml:space="preserve"> (Italia), pérdida de valor añadido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Importaciones</w:t>
      </w:r>
      <w:r>
        <w:rPr>
          <w:rFonts w:ascii="Cambria" w:hAnsi="Cambria" w:cs="Cambria" w:eastAsia="Cambria"/>
          <w:sz w:val="22"/>
        </w:rPr>
        <w:t>: -50 %, más de 700 M€, de Portugal, Túnez (acceso preferente) y Marruecos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Sanidad vegetal: </w:t>
      </w:r>
      <w:r>
        <w:rPr>
          <w:rFonts w:ascii="Cambria" w:hAnsi="Cambria" w:cs="Cambria" w:eastAsia="Cambria"/>
          <w:b/>
          <w:sz w:val="22"/>
        </w:rPr>
        <w:t>Xylella fastidiosa</w:t>
      </w:r>
      <w:r>
        <w:rPr>
          <w:rFonts w:ascii="Cambria" w:hAnsi="Cambria" w:cs="Cambria" w:eastAsia="Cambria"/>
          <w:sz w:val="22"/>
        </w:rPr>
        <w:t>, casos en Baleares desde 2016, Plan de Contingencia del MAPA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Promoción </w:t>
      </w: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>: Brasil, México, EEUU, Francia, Alemania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certificados físico-químicos en China (cuota 60 %), certificado de ausencia de clorofilas cúpricas en Taiwán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Fraude de origen: Operación Mamma Mia (2.000 t retiradas)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EEUU: acuerdo UE-EEUU de junio de 2026, tope del </w:t>
      </w:r>
      <w:r>
        <w:rPr>
          <w:rFonts w:ascii="Cambria" w:hAnsi="Cambria" w:cs="Cambria" w:eastAsia="Cambria"/>
          <w:b/>
          <w:sz w:val="22"/>
        </w:rPr>
        <w:t>15 %</w:t>
      </w:r>
      <w:r>
        <w:rPr>
          <w:rFonts w:ascii="Cambria" w:hAnsi="Cambria" w:cs="Cambria" w:eastAsia="Cambria"/>
          <w:sz w:val="22"/>
        </w:rPr>
        <w:t xml:space="preserve"> a agroalimentarios transformados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ASOLIVA</w:t>
      </w:r>
      <w:r>
        <w:rPr>
          <w:rFonts w:ascii="Cambria" w:hAnsi="Cambria" w:cs="Cambria" w:eastAsia="Cambria"/>
          <w:sz w:val="22"/>
        </w:rPr>
        <w:t>: asociación exportadora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aplicable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Reglamentos (UE) 2022/2104 y 2022/2105</w:t>
      </w:r>
      <w:r>
        <w:rPr>
          <w:rFonts w:ascii="Cambria" w:hAnsi="Cambria" w:cs="Cambria" w:eastAsia="Cambria"/>
          <w:sz w:val="22"/>
        </w:rPr>
        <w:t xml:space="preserve"> (este modificado por el </w:t>
      </w:r>
      <w:r>
        <w:rPr>
          <w:rFonts w:ascii="Cambria" w:hAnsi="Cambria" w:cs="Cambria" w:eastAsia="Cambria"/>
          <w:b/>
          <w:sz w:val="22"/>
        </w:rPr>
        <w:t>2024/2707</w:t>
      </w:r>
      <w:r>
        <w:rPr>
          <w:rFonts w:ascii="Cambria" w:hAnsi="Cambria" w:cs="Cambria" w:eastAsia="Cambria"/>
          <w:sz w:val="22"/>
        </w:rPr>
        <w:t>, métodos analíticos)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COI</w:t>
      </w:r>
      <w:r>
        <w:rPr>
          <w:rFonts w:ascii="Cambria" w:hAnsi="Cambria" w:cs="Cambria" w:eastAsia="Cambria"/>
          <w:sz w:val="22"/>
        </w:rPr>
        <w:t xml:space="preserve"> (sede en Madrid): métodos de referencia oficiales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SOIVRE: reconocimiento mutuo con Brasil. </w:t>
      </w: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 (modificada por ECC/2257/2013 y ECC/2566/2015), control de calidad comercial en comercio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895/2013</w:t>
      </w:r>
      <w:r>
        <w:rPr>
          <w:rFonts w:ascii="Cambria" w:hAnsi="Cambria" w:cs="Cambria" w:eastAsia="Cambria"/>
          <w:sz w:val="22"/>
        </w:rPr>
        <w:t>, envases irrellenables en hostelería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760/2021</w:t>
      </w:r>
      <w:r>
        <w:rPr>
          <w:rFonts w:ascii="Cambria" w:hAnsi="Cambria" w:cs="Cambria" w:eastAsia="Cambria"/>
          <w:sz w:val="22"/>
        </w:rPr>
        <w:t>, norma de calidad del aceite de oliva y orujo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Semillas oleaginosas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Aceites refinados de girasol, soja, cacahuete, germen de maíz, colza, cártamo, pepita de uva y mezclas de semillas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Obtención física, química o combinada, y refinado posterior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de 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Materia prima sana, limpia y madura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Organolépticas, acidez (máximo </w:t>
      </w:r>
      <w:r>
        <w:rPr>
          <w:rFonts w:ascii="Cambria" w:hAnsi="Cambria" w:cs="Cambria" w:eastAsia="Cambria"/>
          <w:b/>
          <w:sz w:val="22"/>
        </w:rPr>
        <w:t>0,3 %</w:t>
      </w:r>
      <w:r>
        <w:rPr>
          <w:rFonts w:ascii="Cambria" w:hAnsi="Cambria" w:cs="Cambria" w:eastAsia="Cambria"/>
          <w:sz w:val="22"/>
        </w:rPr>
        <w:t xml:space="preserve"> en refinados), humedad y volátiles (&lt; </w:t>
      </w:r>
      <w:r>
        <w:rPr>
          <w:rFonts w:ascii="Cambria" w:hAnsi="Cambria" w:cs="Cambria" w:eastAsia="Cambria"/>
          <w:b/>
          <w:sz w:val="22"/>
        </w:rPr>
        <w:t>0,1 %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Peróxidos, jabón y disolvente nulos, LMR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Palma</w:t>
      </w:r>
      <w:r>
        <w:rPr>
          <w:rFonts w:ascii="Cambria" w:hAnsi="Cambria" w:cs="Cambria" w:eastAsia="Cambria"/>
          <w:sz w:val="22"/>
        </w:rPr>
        <w:t>: primer aceite, unos 80 Mt, Indonesia y Malasia más del 85 %. UE exige no deforestación desde 2020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Soja</w:t>
      </w:r>
      <w:r>
        <w:rPr>
          <w:rFonts w:ascii="Cambria" w:hAnsi="Cambria" w:cs="Cambria" w:eastAsia="Cambria"/>
          <w:sz w:val="22"/>
        </w:rPr>
        <w:t>: unos 60 Mt, Brasil, EEUU y Argentina. Demanda de biocombustibles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Girasol</w:t>
      </w:r>
      <w:r>
        <w:rPr>
          <w:rFonts w:ascii="Cambria" w:hAnsi="Cambria" w:cs="Cambria" w:eastAsia="Cambria"/>
          <w:sz w:val="22"/>
        </w:rPr>
        <w:t>: unos 20 Mt, Ucrania, Rusia y Argentina. Guerra de Ucrania desde 2022 (más del 60 % de la producción entre Ucrania y Rusia)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Colza</w:t>
      </w:r>
      <w:r>
        <w:rPr>
          <w:rFonts w:ascii="Cambria" w:hAnsi="Cambria" w:cs="Cambria" w:eastAsia="Cambria"/>
          <w:sz w:val="22"/>
        </w:rPr>
        <w:t>: unos 30 Mt, mayor aceite de la UE (Alemania, Francia, Polonia)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UE: Alemania, Francia y España. En España, girasol y colza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Girasol: exportación más de 360 M€, déficit, importa de Ucrania. Soja: exportación unos 300 M€, superávit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aplicable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Dentro de la OCM única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351/2025</w:t>
      </w:r>
      <w:r>
        <w:rPr>
          <w:rFonts w:ascii="Cambria" w:hAnsi="Cambria" w:cs="Cambria" w:eastAsia="Cambria"/>
          <w:sz w:val="22"/>
        </w:rPr>
        <w:t>, norma de calidad de aceites vegetales comestibles: aceite crudo, indicar si es refinado o prensado, prohíbe "virgen" salvo oliva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, contaminantes (HAP, glicidil ésteres)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 542</w:t>
      </w:r>
      <w:r>
        <w:rPr>
          <w:rFonts w:ascii="Cambria" w:hAnsi="Cambria" w:cs="Cambria" w:eastAsia="Cambria"/>
          <w:sz w:val="22"/>
        </w:rPr>
        <w:t xml:space="preserve"> (semillas) e </w:t>
      </w:r>
      <w:r>
        <w:rPr>
          <w:rFonts w:ascii="Cambria" w:hAnsi="Cambria" w:cs="Cambria" w:eastAsia="Cambria"/>
          <w:b/>
          <w:sz w:val="22"/>
        </w:rPr>
        <w:t>ISO 5555</w:t>
      </w:r>
      <w:r>
        <w:rPr>
          <w:rFonts w:ascii="Cambria" w:hAnsi="Cambria" w:cs="Cambria" w:eastAsia="Cambria"/>
          <w:sz w:val="22"/>
        </w:rPr>
        <w:t xml:space="preserve"> (aceites), normas UNE de AENOR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Grasas comestibles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Reglamentación Técnico-Sanitaria (</w:t>
      </w:r>
      <w:r>
        <w:rPr>
          <w:rFonts w:ascii="Cambria" w:hAnsi="Cambria" w:cs="Cambria" w:eastAsia="Cambria"/>
          <w:b/>
          <w:sz w:val="22"/>
        </w:rPr>
        <w:t>RD 1011/1981</w:t>
      </w:r>
      <w:r>
        <w:rPr>
          <w:rFonts w:ascii="Cambria" w:hAnsi="Cambria" w:cs="Cambria" w:eastAsia="Cambria"/>
          <w:sz w:val="22"/>
        </w:rPr>
        <w:t xml:space="preserve">), actualizada por el </w:t>
      </w:r>
      <w:r>
        <w:rPr>
          <w:rFonts w:ascii="Cambria" w:hAnsi="Cambria" w:cs="Cambria" w:eastAsia="Cambria"/>
          <w:b/>
          <w:sz w:val="22"/>
        </w:rPr>
        <w:t>RD 142/2026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Clasificación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Vegetales (coco, palma, cacao) y animales (manteca y grasa de cerdo)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Anhidras</w:t>
      </w:r>
      <w:r>
        <w:rPr>
          <w:rFonts w:ascii="Cambria" w:hAnsi="Cambria" w:cs="Cambria" w:eastAsia="Cambria"/>
          <w:sz w:val="22"/>
        </w:rPr>
        <w:t xml:space="preserve">: humedad no superior al </w:t>
      </w:r>
      <w:r>
        <w:rPr>
          <w:rFonts w:ascii="Cambria" w:hAnsi="Cambria" w:cs="Cambria" w:eastAsia="Cambria"/>
          <w:b/>
          <w:sz w:val="22"/>
        </w:rPr>
        <w:t>0,5 %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Margarina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minarina</w:t>
      </w:r>
      <w:r>
        <w:rPr>
          <w:rFonts w:ascii="Cambria" w:hAnsi="Cambria" w:cs="Cambria" w:eastAsia="Cambria"/>
          <w:sz w:val="22"/>
        </w:rPr>
        <w:t xml:space="preserve"> (bajo contenido graso): emulsiones sin grasa láctea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Preparados grasos</w:t>
      </w:r>
      <w:r>
        <w:rPr>
          <w:rFonts w:ascii="Cambria" w:hAnsi="Cambria" w:cs="Cambria" w:eastAsia="Cambria"/>
          <w:sz w:val="22"/>
        </w:rPr>
        <w:t xml:space="preserve"> (mayonesa)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de 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Fundidas claras, color y sabor neutros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Acidez, humedad e impurezas, peróxidos, metales pesados, </w:t>
      </w:r>
      <w:r>
        <w:rPr>
          <w:rFonts w:ascii="Cambria" w:hAnsi="Cambria" w:cs="Cambria" w:eastAsia="Cambria"/>
          <w:b/>
          <w:sz w:val="22"/>
        </w:rPr>
        <w:t>punto de solidificación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Sector difícil de cuantificar, </w:t>
      </w:r>
      <w:r>
        <w:rPr>
          <w:rFonts w:ascii="Cambria" w:hAnsi="Cambria" w:cs="Cambria" w:eastAsia="Cambria"/>
          <w:b/>
          <w:sz w:val="22"/>
        </w:rPr>
        <w:t>déficit</w:t>
      </w:r>
      <w:r>
        <w:rPr>
          <w:rFonts w:ascii="Cambria" w:hAnsi="Cambria" w:cs="Cambria" w:eastAsia="Cambria"/>
          <w:sz w:val="22"/>
        </w:rPr>
        <w:t xml:space="preserve">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 a Portugal, Francia, Italia, EEUU y Corea del Sur. Importación de UE, China y Malasia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Mercado en contracción por salud. </w:t>
      </w:r>
      <w:r>
        <w:rPr>
          <w:rFonts w:ascii="Cambria" w:hAnsi="Cambria" w:cs="Cambria" w:eastAsia="Cambria"/>
          <w:b/>
          <w:sz w:val="22"/>
        </w:rPr>
        <w:t>Margarina</w:t>
      </w:r>
      <w:r>
        <w:rPr>
          <w:rFonts w:ascii="Cambria" w:hAnsi="Cambria" w:cs="Cambria" w:eastAsia="Cambria"/>
          <w:sz w:val="22"/>
        </w:rPr>
        <w:t xml:space="preserve"> con superávit (Francia, Portugal, EEUU)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aplicable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Dentro de la OCM única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Internacional: ISO y Codex para muestreo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UE: </w:t>
      </w:r>
      <w:r>
        <w:rPr>
          <w:rFonts w:ascii="Cambria" w:hAnsi="Cambria" w:cs="Cambria" w:eastAsia="Cambria"/>
          <w:b/>
          <w:sz w:val="22"/>
        </w:rPr>
        <w:t>Reglamento 1308/2013</w:t>
      </w:r>
      <w:r>
        <w:rPr>
          <w:rFonts w:ascii="Cambria" w:hAnsi="Cambria" w:cs="Cambria" w:eastAsia="Cambria"/>
          <w:sz w:val="22"/>
        </w:rPr>
        <w:t xml:space="preserve"> (grasas de untar), contaminantes y ácidos grasos trans, </w:t>
      </w:r>
      <w:r>
        <w:rPr>
          <w:rFonts w:ascii="Cambria" w:hAnsi="Cambria" w:cs="Cambria" w:eastAsia="Cambria"/>
          <w:b/>
          <w:sz w:val="22"/>
        </w:rPr>
        <w:t>Reglamento 1169/2011</w:t>
      </w:r>
      <w:r>
        <w:rPr>
          <w:rFonts w:ascii="Cambria" w:hAnsi="Cambria" w:cs="Cambria" w:eastAsia="Cambria"/>
          <w:sz w:val="22"/>
        </w:rPr>
        <w:t xml:space="preserve"> (etiquetado)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RD 142/2026</w:t>
      </w:r>
      <w:r>
        <w:rPr>
          <w:rFonts w:ascii="Cambria" w:hAnsi="Cambria" w:cs="Cambria" w:eastAsia="Cambria"/>
          <w:sz w:val="22"/>
        </w:rPr>
        <w:t xml:space="preserve"> y normas UNE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al mercado, la sostenibilidad y la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 xml:space="preserve">: planes estratégicos (FEAGA y FEADER). En España,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Ayudas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>, ayuda básica a la renta para la sostenibilidad (sustituye pago básico y greening)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Eco-regímenes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Condicionalidad reforzada</w:t>
      </w:r>
      <w:r>
        <w:rPr>
          <w:rFonts w:ascii="Cambria" w:hAnsi="Cambria" w:cs="Cambria" w:eastAsia="Cambria"/>
          <w:sz w:val="22"/>
        </w:rPr>
        <w:t xml:space="preserve"> (BCAM)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 ambiental y climática, relevo generacional, digitalización, organizaciones de productores, resiliencia ante crisis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Organización Común de Mercados (OCM)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 xml:space="preserve">: en aceite de oliva, </w:t>
      </w:r>
      <w:r>
        <w:rPr>
          <w:rFonts w:ascii="Cambria" w:hAnsi="Cambria" w:cs="Cambria" w:eastAsia="Cambria"/>
          <w:b/>
          <w:sz w:val="22"/>
        </w:rPr>
        <w:t>Reglamentos 2022/2104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2022/2105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Controles en todas las fases y a terceros países (normas UE o equivalentes). </w:t>
      </w:r>
      <w:r>
        <w:rPr>
          <w:rFonts w:ascii="Cambria" w:hAnsi="Cambria" w:cs="Cambria" w:eastAsia="Cambria"/>
          <w:b/>
          <w:sz w:val="22"/>
        </w:rPr>
        <w:t>RD 175/2004</w:t>
      </w:r>
      <w:r>
        <w:rPr>
          <w:rFonts w:ascii="Cambria" w:hAnsi="Cambria" w:cs="Cambria" w:eastAsia="Cambria"/>
          <w:sz w:val="22"/>
        </w:rPr>
        <w:t>: autoridad coordinadora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 (OP)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 xml:space="preserve">: art. 157 del Reglamento 1308/2013 y </w:t>
      </w:r>
      <w:r>
        <w:rPr>
          <w:rFonts w:ascii="Cambria" w:hAnsi="Cambria" w:cs="Cambria" w:eastAsia="Cambria"/>
          <w:b/>
          <w:sz w:val="22"/>
        </w:rPr>
        <w:t>Ley 38/1994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Defensa y promoción. Ejemplo del sector: </w:t>
      </w:r>
      <w:r>
        <w:rPr>
          <w:rFonts w:ascii="Cambria" w:hAnsi="Cambria" w:cs="Cambria" w:eastAsia="Cambria"/>
          <w:b/>
          <w:sz w:val="22"/>
        </w:rPr>
        <w:t>ASOLIVA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estabilidad del mercado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FEGA gestiona, FEAGA financia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En aceite de oliva se mantienen los </w:t>
      </w:r>
      <w:r>
        <w:rPr>
          <w:rFonts w:ascii="Cambria" w:hAnsi="Cambria" w:cs="Cambria" w:eastAsia="Cambria"/>
          <w:b/>
          <w:sz w:val="22"/>
        </w:rPr>
        <w:t>pagos acoplados</w:t>
      </w:r>
      <w:r>
        <w:rPr>
          <w:rFonts w:ascii="Cambria" w:hAnsi="Cambria" w:cs="Cambria" w:eastAsia="Cambria"/>
          <w:sz w:val="22"/>
        </w:rPr>
        <w:t xml:space="preserve"> en la PAC 2023-2027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Contingente arancelario preferencial con Túnez</w:t>
      </w:r>
      <w:r>
        <w:rPr>
          <w:rFonts w:ascii="Cambria" w:hAnsi="Cambria" w:cs="Cambria" w:eastAsia="Cambria"/>
          <w:sz w:val="22"/>
        </w:rPr>
        <w:t>: aranceles reducidos o nulos hasta un volumen, renovado periódicamente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Normativa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Papel limitado de CEPE/ONU en el sector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COI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 (norma </w:t>
      </w:r>
      <w:r>
        <w:rPr>
          <w:rFonts w:ascii="Cambria" w:hAnsi="Cambria" w:cs="Cambria" w:eastAsia="Cambria"/>
          <w:b/>
          <w:sz w:val="22"/>
        </w:rPr>
        <w:t>CXS 33-1981</w:t>
      </w:r>
      <w:r>
        <w:rPr>
          <w:rFonts w:ascii="Cambria" w:hAnsi="Cambria" w:cs="Cambria" w:eastAsia="Cambria"/>
          <w:sz w:val="22"/>
        </w:rPr>
        <w:t xml:space="preserve"> de aceites de oliva y orujo)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>: normas UNE de AENOR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 xml:space="preserve"> (terceros países con estándares UE desde 2023)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 Ejecución 2016/1842</w:t>
      </w:r>
      <w:r>
        <w:rPr>
          <w:rFonts w:ascii="Cambria" w:hAnsi="Cambria" w:cs="Cambria" w:eastAsia="Cambria"/>
          <w:sz w:val="22"/>
        </w:rPr>
        <w:t>: certificado electrónico de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: SOIVRE controla importación de no transformados, transformados, piensos, material de reproducción y levaduras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RD 1201/2002</w:t>
      </w:r>
      <w:r>
        <w:rPr>
          <w:rFonts w:ascii="Cambria" w:hAnsi="Cambria" w:cs="Cambria" w:eastAsia="Cambria"/>
          <w:sz w:val="22"/>
        </w:rPr>
        <w:t xml:space="preserve"> y logotipo (</w:t>
      </w:r>
      <w:r>
        <w:rPr>
          <w:rFonts w:ascii="Cambria" w:hAnsi="Cambria" w:cs="Cambria" w:eastAsia="Cambria"/>
          <w:b/>
          <w:sz w:val="22"/>
        </w:rPr>
        <w:t>Orden APA/1/2004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>: AICA controla la comercialización (DOP Priego de Córdoba, Montes de Toledo, Sierra de Cádiz, Sierra Mágina)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Normativa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175/2004</w:t>
      </w:r>
      <w:r>
        <w:rPr>
          <w:rFonts w:ascii="Cambria" w:hAnsi="Cambria" w:cs="Cambria" w:eastAsia="Cambria"/>
          <w:sz w:val="22"/>
        </w:rPr>
        <w:t>: autoridad de controles de conformidad (Secretaría de Estado de Comercio)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LMR de plaguicidas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: contaminantes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1055/2022</w:t>
      </w:r>
      <w:r>
        <w:rPr>
          <w:rFonts w:ascii="Cambria" w:hAnsi="Cambria" w:cs="Cambria" w:eastAsia="Cambria"/>
          <w:sz w:val="22"/>
        </w:rPr>
        <w:t>: envases y residuos de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Higiene: </w:t>
      </w:r>
      <w:r>
        <w:rPr>
          <w:rFonts w:ascii="Cambria" w:hAnsi="Cambria" w:cs="Cambria" w:eastAsia="Cambria"/>
          <w:b/>
          <w:sz w:val="22"/>
        </w:rPr>
        <w:t>Reglamentos (CE) 852 y 853/2004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(UE) 2017/625</w:t>
      </w:r>
      <w:r>
        <w:rPr>
          <w:rFonts w:ascii="Cambria" w:hAnsi="Cambria" w:cs="Cambria" w:eastAsia="Cambria"/>
          <w:sz w:val="22"/>
        </w:rPr>
        <w:t xml:space="preserve"> (controles oficiales)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 y régimen sancionador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prevención del desperdicio alimentario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España: primer productor y exportador de aceite de oliva (</w:t>
      </w:r>
      <w:r>
        <w:rPr>
          <w:rFonts w:ascii="Cambria" w:hAnsi="Cambria" w:cs="Cambria" w:eastAsia="Cambria"/>
          <w:b/>
          <w:sz w:val="22"/>
        </w:rPr>
        <w:t>40 %</w:t>
      </w:r>
      <w:r>
        <w:rPr>
          <w:rFonts w:ascii="Cambria" w:hAnsi="Cambria" w:cs="Cambria" w:eastAsia="Cambria"/>
          <w:sz w:val="22"/>
        </w:rPr>
        <w:t xml:space="preserve"> de la producción mundial, cerca del </w:t>
      </w: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 xml:space="preserve"> de las exportaciones agroalimentarias)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>: Argentina, Uruguay y Chile con costes menores, más entrada de aceites de semillas. Competencia de grasas tropicales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>: incertidumbre arancelaria en el aceite envasado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del </w:t>
      </w:r>
      <w:r>
        <w:rPr>
          <w:rFonts w:ascii="Cambria" w:hAnsi="Cambria" w:cs="Cambria" w:eastAsia="Cambria"/>
          <w:b/>
          <w:sz w:val="22"/>
        </w:rPr>
        <w:t>60 % a granel</w:t>
      </w:r>
      <w:r>
        <w:rPr>
          <w:rFonts w:ascii="Cambria" w:hAnsi="Cambria" w:cs="Cambria" w:eastAsia="Cambria"/>
          <w:sz w:val="22"/>
        </w:rPr>
        <w:t>, pérdida de valor añadido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Variabilidad por cambio climático y agua en Andalucía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Respuesta: diferenciar y envasar en origen, diversificar mercados (EEUU e Italia), adaptar el olivar y exigir reciprocidad de estándares a las importaciones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12 – Sector de aceites y grasas comestibles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12 – Sector de aceites y grasas comestibles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