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Industrialización años 60</w:t>
      </w:r>
      <w:r>
        <w:rPr>
          <w:rFonts w:ascii="Cambria" w:hAnsi="Cambria" w:cs="Cambria" w:eastAsia="Cambria"/>
          <w:sz w:val="22"/>
        </w:rPr>
        <w:t>: estructura sesgada a sectores tradicionales intensivos en mano de obra, dependencia energética y tecnológica, muchas pymes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Entrada en la CEE (1986)</w:t>
      </w:r>
      <w:r>
        <w:rPr>
          <w:rFonts w:ascii="Cambria" w:hAnsi="Cambria" w:cs="Cambria" w:eastAsia="Cambria"/>
          <w:sz w:val="22"/>
        </w:rPr>
        <w:t>: reconversión industrial tardía, adaptación al Mercado Único y a la liberalización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Sector secundario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14,2 % del PIB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15,6 % del VAB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11,4 % del empleo</w:t>
      </w:r>
      <w:r>
        <w:rPr>
          <w:rFonts w:ascii="Cambria" w:hAnsi="Cambria" w:cs="Cambria" w:eastAsia="Cambria"/>
          <w:sz w:val="22"/>
        </w:rPr>
        <w:t xml:space="preserve"> (Informe Anual 2025 de la SGEAPA del MINTUR)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Industria manufacturera: bienes intermedios, bienes de equipo y bienes de consumo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Bienes de consumo duradero</w:t>
      </w:r>
      <w:r>
        <w:rPr>
          <w:rFonts w:ascii="Cambria" w:hAnsi="Cambria" w:cs="Cambria" w:eastAsia="Cambria"/>
          <w:sz w:val="22"/>
        </w:rPr>
        <w:t>: vida útil superior a un año, demandados por familias, empresas y sector público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Sector motor, incide en proveedores de semimanufacturas y servicios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1,6 %</w:t>
      </w:r>
      <w:r>
        <w:rPr>
          <w:rFonts w:ascii="Cambria" w:hAnsi="Cambria" w:cs="Cambria" w:eastAsia="Cambria"/>
          <w:sz w:val="22"/>
        </w:rPr>
        <w:t xml:space="preserve"> de las exportaciones y </w:t>
      </w:r>
      <w:r>
        <w:rPr>
          <w:rFonts w:ascii="Cambria" w:hAnsi="Cambria" w:cs="Cambria" w:eastAsia="Cambria"/>
          <w:b/>
          <w:sz w:val="22"/>
        </w:rPr>
        <w:t>2,6 %</w:t>
      </w:r>
      <w:r>
        <w:rPr>
          <w:rFonts w:ascii="Cambria" w:hAnsi="Cambria" w:cs="Cambria" w:eastAsia="Cambria"/>
          <w:sz w:val="22"/>
        </w:rPr>
        <w:t xml:space="preserve"> de las importaciones españolas (DATACOMEX 2025)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Muebles: </w:t>
      </w:r>
      <w:r>
        <w:rPr>
          <w:rFonts w:ascii="Cambria" w:hAnsi="Cambria" w:cs="Cambria" w:eastAsia="Cambria"/>
          <w:b/>
          <w:sz w:val="22"/>
        </w:rPr>
        <w:t>50,5 %</w:t>
      </w:r>
      <w:r>
        <w:rPr>
          <w:rFonts w:ascii="Cambria" w:hAnsi="Cambria" w:cs="Cambria" w:eastAsia="Cambria"/>
          <w:sz w:val="22"/>
        </w:rPr>
        <w:t xml:space="preserve"> de las exportaciones y </w:t>
      </w:r>
      <w:r>
        <w:rPr>
          <w:rFonts w:ascii="Cambria" w:hAnsi="Cambria" w:cs="Cambria" w:eastAsia="Cambria"/>
          <w:b/>
          <w:sz w:val="22"/>
        </w:rPr>
        <w:t>37,4 %</w:t>
      </w:r>
      <w:r>
        <w:rPr>
          <w:rFonts w:ascii="Cambria" w:hAnsi="Cambria" w:cs="Cambria" w:eastAsia="Cambria"/>
          <w:sz w:val="22"/>
        </w:rPr>
        <w:t xml:space="preserve"> de las importaciones del sector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1.1. Legislación general del sector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Desarrollo normativo: </w:t>
      </w:r>
      <w:r>
        <w:rPr>
          <w:rFonts w:ascii="Cambria" w:hAnsi="Cambria" w:cs="Cambria" w:eastAsia="Cambria"/>
          <w:b/>
          <w:sz w:val="22"/>
        </w:rPr>
        <w:t>SG de Calidad y Seguridad Industrial</w:t>
      </w:r>
      <w:r>
        <w:rPr>
          <w:rFonts w:ascii="Cambria" w:hAnsi="Cambria" w:cs="Cambria" w:eastAsia="Cambria"/>
          <w:sz w:val="22"/>
        </w:rPr>
        <w:t xml:space="preserve"> del MINTUR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21/1992, de Industria</w:t>
      </w:r>
      <w:r>
        <w:rPr>
          <w:rFonts w:ascii="Cambria" w:hAnsi="Cambria" w:cs="Cambria" w:eastAsia="Cambria"/>
          <w:sz w:val="22"/>
        </w:rPr>
        <w:t>: adapta la actividad industrial a la UE y al Mercado Único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559/2010</w:t>
      </w:r>
      <w:r>
        <w:rPr>
          <w:rFonts w:ascii="Cambria" w:hAnsi="Cambria" w:cs="Cambria" w:eastAsia="Cambria"/>
          <w:sz w:val="22"/>
        </w:rPr>
        <w:t>: Reglamento del Registro Integrado Industrial (RII)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1072/2015</w:t>
      </w:r>
      <w:r>
        <w:rPr>
          <w:rFonts w:ascii="Cambria" w:hAnsi="Cambria" w:cs="Cambria" w:eastAsia="Cambria"/>
          <w:sz w:val="22"/>
        </w:rPr>
        <w:t>: Infraestructura para la Calidad y la Seguridad Industrial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AENOR</w:t>
      </w:r>
      <w:r>
        <w:rPr>
          <w:rFonts w:ascii="Cambria" w:hAnsi="Cambria" w:cs="Cambria" w:eastAsia="Cambria"/>
          <w:sz w:val="22"/>
        </w:rPr>
        <w:t xml:space="preserve"> normalización, </w:t>
      </w:r>
      <w:r>
        <w:rPr>
          <w:rFonts w:ascii="Cambria" w:hAnsi="Cambria" w:cs="Cambria" w:eastAsia="Cambria"/>
          <w:b/>
          <w:sz w:val="22"/>
        </w:rPr>
        <w:t>ENAC</w:t>
      </w:r>
      <w:r>
        <w:rPr>
          <w:rFonts w:ascii="Cambria" w:hAnsi="Cambria" w:cs="Cambria" w:eastAsia="Cambria"/>
          <w:sz w:val="22"/>
        </w:rPr>
        <w:t xml:space="preserve"> acreditación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1468/1988</w:t>
      </w:r>
      <w:r>
        <w:rPr>
          <w:rFonts w:ascii="Cambria" w:hAnsi="Cambria" w:cs="Cambria" w:eastAsia="Cambria"/>
          <w:sz w:val="22"/>
        </w:rPr>
        <w:t>: etiquetado, presentación y publicidad de productos industriales sin normativa específica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Etiquetado real, veraz y fácil de entender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Datos mínimos: denominación, composición, plazo de uso, contenido neto, características, lote, empresa, origen, alérgenos y, si procede, potencia, tensión y consumo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Exportaciones a terceros países que no cumplan: identificadas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1406/1989</w:t>
      </w:r>
      <w:r>
        <w:rPr>
          <w:rFonts w:ascii="Cambria" w:hAnsi="Cambria" w:cs="Cambria" w:eastAsia="Cambria"/>
          <w:sz w:val="22"/>
        </w:rPr>
        <w:t>: limita sustancias (benceno, amianto, dimetilfumarato, pentaclorofenol) y prohíbe termómetros de mercurio desde 2009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330/2008</w:t>
      </w:r>
      <w:r>
        <w:rPr>
          <w:rFonts w:ascii="Cambria" w:hAnsi="Cambria" w:cs="Cambria" w:eastAsia="Cambria"/>
          <w:sz w:val="22"/>
        </w:rPr>
        <w:t>: control de importaciones en seguridad a partir de alertas RAPEX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(Direcciones Territoriales y Provinciales de Comercio) controla la conformidad antes del despacho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Lista de productos en la </w:t>
      </w:r>
      <w:r>
        <w:rPr>
          <w:rFonts w:ascii="Cambria" w:hAnsi="Cambria" w:cs="Cambria" w:eastAsia="Cambria"/>
          <w:b/>
          <w:sz w:val="22"/>
        </w:rPr>
        <w:t>Orden PJC/161/2026</w:t>
      </w:r>
      <w:r>
        <w:rPr>
          <w:rFonts w:ascii="Cambria" w:hAnsi="Cambria" w:cs="Cambria" w:eastAsia="Cambria"/>
          <w:sz w:val="22"/>
        </w:rPr>
        <w:t>: drones, puericultura, textil, calzado, juguetes, ciertos EPIs, pequeño material eléctrico, determinados muebles y derivados de madera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993/2022</w:t>
      </w:r>
      <w:r>
        <w:rPr>
          <w:rFonts w:ascii="Cambria" w:hAnsi="Cambria" w:cs="Cambria" w:eastAsia="Cambria"/>
          <w:sz w:val="22"/>
        </w:rPr>
        <w:t>: control SOIVRE de AEEs en RoHS y en obligaciones del RII de AEEs, pilas y acumuladores de terceros países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>: acreditación y marcado CE (directivas de Nuevo Enfoque)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Vigilancia de mercado sustituida por el </w:t>
      </w:r>
      <w:r>
        <w:rPr>
          <w:rFonts w:ascii="Cambria" w:hAnsi="Cambria" w:cs="Cambria" w:eastAsia="Cambria"/>
          <w:b/>
          <w:sz w:val="22"/>
        </w:rPr>
        <w:t>Reglamento (UE) 2019/1020</w:t>
      </w:r>
      <w:r>
        <w:rPr>
          <w:rFonts w:ascii="Cambria" w:hAnsi="Cambria" w:cs="Cambria" w:eastAsia="Cambria"/>
          <w:sz w:val="22"/>
        </w:rPr>
        <w:t xml:space="preserve"> (poderes de las AVM, controles de terceros países)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2019/515</w:t>
      </w:r>
      <w:r>
        <w:rPr>
          <w:rFonts w:ascii="Cambria" w:hAnsi="Cambria" w:cs="Cambria" w:eastAsia="Cambria"/>
          <w:sz w:val="22"/>
        </w:rPr>
        <w:t>: reconocimiento mutuo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Decisión 768/2008/CE</w:t>
      </w:r>
      <w:r>
        <w:rPr>
          <w:rFonts w:ascii="Cambria" w:hAnsi="Cambria" w:cs="Cambria" w:eastAsia="Cambria"/>
          <w:sz w:val="22"/>
        </w:rPr>
        <w:t>: marco común, base del Nuevo Marco Legislativo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2023/988 (RGSP)</w:t>
      </w:r>
      <w:r>
        <w:rPr>
          <w:rFonts w:ascii="Cambria" w:hAnsi="Cambria" w:cs="Cambria" w:eastAsia="Cambria"/>
          <w:sz w:val="22"/>
        </w:rPr>
        <w:t>: deroga la Directiva 2001/95/CE (RD 1801/2003 sin efecto autónomo)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Aplicable desde el </w:t>
      </w:r>
      <w:r>
        <w:rPr>
          <w:rFonts w:ascii="Cambria" w:hAnsi="Cambria" w:cs="Cambria" w:eastAsia="Cambria"/>
          <w:b/>
          <w:sz w:val="22"/>
        </w:rPr>
        <w:t>13-12-2024</w:t>
      </w:r>
      <w:r>
        <w:rPr>
          <w:rFonts w:ascii="Cambria" w:hAnsi="Cambria" w:cs="Cambria" w:eastAsia="Cambria"/>
          <w:sz w:val="22"/>
        </w:rPr>
        <w:t>, seguridad general de productos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Refuerza </w:t>
      </w:r>
      <w:r>
        <w:rPr>
          <w:rFonts w:ascii="Cambria" w:hAnsi="Cambria" w:cs="Cambria" w:eastAsia="Cambria"/>
          <w:b/>
          <w:sz w:val="22"/>
        </w:rPr>
        <w:t>Safety Gate</w:t>
      </w:r>
      <w:r>
        <w:rPr>
          <w:rFonts w:ascii="Cambria" w:hAnsi="Cambria" w:cs="Cambria" w:eastAsia="Cambria"/>
          <w:sz w:val="22"/>
        </w:rPr>
        <w:t xml:space="preserve"> (sustituye a RAPEX) y obligaciones de mercados en línea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1907/2006 REACH</w:t>
      </w:r>
      <w:r>
        <w:rPr>
          <w:rFonts w:ascii="Cambria" w:hAnsi="Cambria" w:cs="Cambria" w:eastAsia="Cambria"/>
          <w:sz w:val="22"/>
        </w:rPr>
        <w:t xml:space="preserve">: restricciones (Anexo XVII) y creación de la </w:t>
      </w:r>
      <w:r>
        <w:rPr>
          <w:rFonts w:ascii="Cambria" w:hAnsi="Cambria" w:cs="Cambria" w:eastAsia="Cambria"/>
          <w:b/>
          <w:sz w:val="22"/>
        </w:rPr>
        <w:t>ECHA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2023/2411</w:t>
      </w:r>
      <w:r>
        <w:rPr>
          <w:rFonts w:ascii="Cambria" w:hAnsi="Cambria" w:cs="Cambria" w:eastAsia="Cambria"/>
          <w:sz w:val="22"/>
        </w:rPr>
        <w:t>: indicaciones geográficas de productos artesanales e industriales, aplicable desde 2025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SUBSECTOR DE MUEBLES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Descripción y análisis sectorial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Cinco productos: cocina y baño, hogar, jardín, oficina, somieres y colchones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Peso (EEE INE 2024): ~</w:t>
      </w:r>
      <w:r>
        <w:rPr>
          <w:rFonts w:ascii="Cambria" w:hAnsi="Cambria" w:cs="Cambria" w:eastAsia="Cambria"/>
          <w:b/>
          <w:sz w:val="22"/>
        </w:rPr>
        <w:t>1 %</w:t>
      </w:r>
      <w:r>
        <w:rPr>
          <w:rFonts w:ascii="Cambria" w:hAnsi="Cambria" w:cs="Cambria" w:eastAsia="Cambria"/>
          <w:sz w:val="22"/>
        </w:rPr>
        <w:t xml:space="preserve"> de la producción industrial, </w:t>
      </w:r>
      <w:r>
        <w:rPr>
          <w:rFonts w:ascii="Cambria" w:hAnsi="Cambria" w:cs="Cambria" w:eastAsia="Cambria"/>
          <w:b/>
          <w:sz w:val="22"/>
        </w:rPr>
        <w:t>1,4 %</w:t>
      </w:r>
      <w:r>
        <w:rPr>
          <w:rFonts w:ascii="Cambria" w:hAnsi="Cambria" w:cs="Cambria" w:eastAsia="Cambria"/>
          <w:sz w:val="22"/>
        </w:rPr>
        <w:t xml:space="preserve"> del VAB, </w:t>
      </w:r>
      <w:r>
        <w:rPr>
          <w:rFonts w:ascii="Cambria" w:hAnsi="Cambria" w:cs="Cambria" w:eastAsia="Cambria"/>
          <w:b/>
          <w:sz w:val="22"/>
        </w:rPr>
        <w:t>2,6 %</w:t>
      </w:r>
      <w:r>
        <w:rPr>
          <w:rFonts w:ascii="Cambria" w:hAnsi="Cambria" w:cs="Cambria" w:eastAsia="Cambria"/>
          <w:sz w:val="22"/>
        </w:rPr>
        <w:t xml:space="preserve"> del empleo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Déficit comercial estructural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Exportaciones 2025: más de </w:t>
      </w:r>
      <w:r>
        <w:rPr>
          <w:rFonts w:ascii="Cambria" w:hAnsi="Cambria" w:cs="Cambria" w:eastAsia="Cambria"/>
          <w:b/>
          <w:sz w:val="22"/>
        </w:rPr>
        <w:t>3.200 M€</w:t>
      </w:r>
      <w:r>
        <w:rPr>
          <w:rFonts w:ascii="Cambria" w:hAnsi="Cambria" w:cs="Cambria" w:eastAsia="Cambria"/>
          <w:sz w:val="22"/>
        </w:rPr>
        <w:t>, a UE (Francia, Portugal, Alemania, Italia), EEUU y Reino Unido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Importaciones: </w:t>
      </w:r>
      <w:r>
        <w:rPr>
          <w:rFonts w:ascii="Cambria" w:hAnsi="Cambria" w:cs="Cambria" w:eastAsia="Cambria"/>
          <w:b/>
          <w:sz w:val="22"/>
        </w:rPr>
        <w:t>4.500 M€</w:t>
      </w:r>
      <w:r>
        <w:rPr>
          <w:rFonts w:ascii="Cambria" w:hAnsi="Cambria" w:cs="Cambria" w:eastAsia="Cambria"/>
          <w:sz w:val="22"/>
        </w:rPr>
        <w:t>, ~un tercio de China, seguida de Portugal, Marruecos, Italia y Alemania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Mundo: China primer productor y exportador, Italia primer exportador europeo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España: Comunidad Valenciana, Cataluña, Andalucía y Madrid, </w:t>
      </w:r>
      <w:r>
        <w:rPr>
          <w:rFonts w:ascii="Cambria" w:hAnsi="Cambria" w:cs="Cambria" w:eastAsia="Cambria"/>
          <w:b/>
          <w:sz w:val="22"/>
        </w:rPr>
        <w:t>99,9 %</w:t>
      </w:r>
      <w:r>
        <w:rPr>
          <w:rFonts w:ascii="Cambria" w:hAnsi="Cambria" w:cs="Cambria" w:eastAsia="Cambria"/>
          <w:sz w:val="22"/>
        </w:rPr>
        <w:t xml:space="preserve"> pymes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Evolución hacia actividad basada en conocimiento y dirigida por mercados: diseño, sostenibilidad, nuevos mercados frente a la presión asiática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Ligado a construcción e inmobiliario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ANIEME</w:t>
      </w:r>
      <w:r>
        <w:rPr>
          <w:rFonts w:ascii="Cambria" w:hAnsi="Cambria" w:cs="Cambria" w:eastAsia="Cambria"/>
          <w:sz w:val="22"/>
        </w:rPr>
        <w:t>: defensa y promoción del sector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Sostenibilidad como factor competitivo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EUDR (UE 2023/1115)</w:t>
      </w:r>
      <w:r>
        <w:rPr>
          <w:rFonts w:ascii="Cambria" w:hAnsi="Cambria" w:cs="Cambria" w:eastAsia="Cambria"/>
          <w:sz w:val="22"/>
        </w:rPr>
        <w:t xml:space="preserve"> y EUTR: trazabilidad de la madera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ESPR (UE 2024/1781)</w:t>
      </w:r>
      <w:r>
        <w:rPr>
          <w:rFonts w:ascii="Cambria" w:hAnsi="Cambria" w:cs="Cambria" w:eastAsia="Cambria"/>
          <w:sz w:val="22"/>
        </w:rPr>
        <w:t xml:space="preserve">: deroga Ecodiseño, mobiliario grupo prioritario, </w:t>
      </w:r>
      <w:r>
        <w:rPr>
          <w:rFonts w:ascii="Cambria" w:hAnsi="Cambria" w:cs="Cambria" w:eastAsia="Cambria"/>
          <w:b/>
          <w:sz w:val="22"/>
        </w:rPr>
        <w:t>DPP</w:t>
      </w:r>
      <w:r>
        <w:rPr>
          <w:rFonts w:ascii="Cambria" w:hAnsi="Cambria" w:cs="Cambria" w:eastAsia="Cambria"/>
          <w:sz w:val="22"/>
        </w:rPr>
        <w:t>, durabilidad, reparabilidad y contenido reciclado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Normativa aplicable a muebles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Sin directiva específica de producto, normativa general y normas técnicas </w:t>
      </w:r>
      <w:r>
        <w:rPr>
          <w:rFonts w:ascii="Cambria" w:hAnsi="Cambria" w:cs="Cambria" w:eastAsia="Cambria"/>
          <w:b/>
          <w:sz w:val="22"/>
        </w:rPr>
        <w:t>AENOR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2023/988</w:t>
      </w:r>
      <w:r>
        <w:rPr>
          <w:rFonts w:ascii="Cambria" w:hAnsi="Cambria" w:cs="Cambria" w:eastAsia="Cambria"/>
          <w:sz w:val="22"/>
        </w:rPr>
        <w:t>: marco transversal de seguridad, deberes de operadores y plataformas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 1801/2003</w:t>
      </w:r>
      <w:r>
        <w:rPr>
          <w:rFonts w:ascii="Cambria" w:hAnsi="Cambria" w:cs="Cambria" w:eastAsia="Cambria"/>
          <w:sz w:val="22"/>
        </w:rPr>
        <w:t>: sin efecto jurídico autónomo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330/2008 y Orden PJC/161/2026</w:t>
      </w:r>
      <w:r>
        <w:rPr>
          <w:rFonts w:ascii="Cambria" w:hAnsi="Cambria" w:cs="Cambria" w:eastAsia="Cambria"/>
          <w:sz w:val="22"/>
        </w:rPr>
        <w:t>: muebles y madera sujetos a control SOIVRE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Orden PRE/735/2010 derogada y CONFEMADERA sin actividad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841/1985</w:t>
      </w:r>
      <w:r>
        <w:rPr>
          <w:rFonts w:ascii="Cambria" w:hAnsi="Cambria" w:cs="Cambria" w:eastAsia="Cambria"/>
          <w:sz w:val="22"/>
        </w:rPr>
        <w:t>: tableros de partículas y contrachapados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2023/1464</w:t>
      </w:r>
      <w:r>
        <w:rPr>
          <w:rFonts w:ascii="Cambria" w:hAnsi="Cambria" w:cs="Cambria" w:eastAsia="Cambria"/>
          <w:sz w:val="22"/>
        </w:rPr>
        <w:t xml:space="preserve"> (REACH, Anexo XVII): formaldehído de clase E1 (</w:t>
      </w:r>
      <w:r>
        <w:rPr>
          <w:rFonts w:ascii="Cambria" w:hAnsi="Cambria" w:cs="Cambria" w:eastAsia="Cambria"/>
          <w:b/>
          <w:sz w:val="22"/>
        </w:rPr>
        <w:t>0,124 mg/m³</w:t>
      </w:r>
      <w:r>
        <w:rPr>
          <w:rFonts w:ascii="Cambria" w:hAnsi="Cambria" w:cs="Cambria" w:eastAsia="Cambria"/>
          <w:sz w:val="22"/>
        </w:rPr>
        <w:t>) a E05 (</w:t>
      </w:r>
      <w:r>
        <w:rPr>
          <w:rFonts w:ascii="Cambria" w:hAnsi="Cambria" w:cs="Cambria" w:eastAsia="Cambria"/>
          <w:b/>
          <w:sz w:val="22"/>
        </w:rPr>
        <w:t>0,062 mg/m³</w:t>
      </w:r>
      <w:r>
        <w:rPr>
          <w:rFonts w:ascii="Cambria" w:hAnsi="Cambria" w:cs="Cambria" w:eastAsia="Cambria"/>
          <w:sz w:val="22"/>
        </w:rPr>
        <w:t xml:space="preserve">), aplicable desde el </w:t>
      </w:r>
      <w:r>
        <w:rPr>
          <w:rFonts w:ascii="Cambria" w:hAnsi="Cambria" w:cs="Cambria" w:eastAsia="Cambria"/>
          <w:b/>
          <w:sz w:val="22"/>
        </w:rPr>
        <w:t>6-8-2026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412/2012</w:t>
      </w:r>
      <w:r>
        <w:rPr>
          <w:rFonts w:ascii="Cambria" w:hAnsi="Cambria" w:cs="Cambria" w:eastAsia="Cambria"/>
          <w:sz w:val="22"/>
        </w:rPr>
        <w:t>: límites de dimetilfumarato (DMF)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EUDR</w:t>
      </w:r>
      <w:r>
        <w:rPr>
          <w:rFonts w:ascii="Cambria" w:hAnsi="Cambria" w:cs="Cambria" w:eastAsia="Cambria"/>
          <w:sz w:val="22"/>
        </w:rPr>
        <w:t xml:space="preserve"> (trazabilidad) y </w:t>
      </w:r>
      <w:r>
        <w:rPr>
          <w:rFonts w:ascii="Cambria" w:hAnsi="Cambria" w:cs="Cambria" w:eastAsia="Cambria"/>
          <w:b/>
          <w:sz w:val="22"/>
        </w:rPr>
        <w:t>ESPR</w:t>
      </w:r>
      <w:r>
        <w:rPr>
          <w:rFonts w:ascii="Cambria" w:hAnsi="Cambria" w:cs="Cambria" w:eastAsia="Cambria"/>
          <w:sz w:val="22"/>
        </w:rPr>
        <w:t xml:space="preserve"> (requisitos por actos delegados)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Etiquetado de muebles importados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Según RD 330/2008 y Orden PJC/161/2026: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Nombre o razón social y dirección postal del importador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Referencia del modelo, trazable en factura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Cunas, moisés, tronas, literas: norma de cumplimiento y advertencias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Instrucciones de montaje y uso en castellano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Sin marcado CE</w:t>
      </w:r>
      <w:r>
        <w:rPr>
          <w:rFonts w:ascii="Cambria" w:hAnsi="Cambria" w:cs="Cambria" w:eastAsia="Cambria"/>
          <w:sz w:val="22"/>
        </w:rPr>
        <w:t>, salvo elementos motorizados (sillones relax, camas articuladas)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Mobiliario controlado por el SOIVRE (normas UNE de referencia)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Mobiliario infantil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Moisés y cunas balancín: UNE-EN 1130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Cunas: UNE-EN 716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Tronas: UNE-EN 14988 y cambiadores: UNE-EN 12221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Mobiliario de oficina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Silla de trabajo: UNE-EN 1335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Sillas de confidente: UNE-EN 16139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Mesas: UNE-EN 527 y archivo: UNE-EN 14073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Mobiliario para adultos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Literas: UNE-EN 747 (excluye plegables, camping, convertibles en sofá)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Camas abatibles: UNE-EN 1129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Taburetes de peldaños: UNE-EN 14183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Asientos alineados: UNE-EN 12727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Asientos de uso no doméstico: UNE-EN 16139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 controlados</w:t>
      </w:r>
      <w:r>
        <w:rPr>
          <w:rFonts w:ascii="Cambria" w:hAnsi="Cambria" w:cs="Cambria" w:eastAsia="Cambria"/>
          <w:sz w:val="22"/>
        </w:rPr>
        <w:t>: asientos médicos/ortopédicos, sillones de masaje, mesas (salvo oficina de metal o madera)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2.5. Inspección en frontera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Procedimiento del RD 330/2008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Notificación telemática del importador a la DT o DP Comercio con antelación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Análisis de riesgo automatizado de la Secretaría de Estado de Comercio decide control documental o físico, previo al despacho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Calificación: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Conforme</w:t>
      </w:r>
      <w:r>
        <w:rPr>
          <w:rFonts w:ascii="Cambria" w:hAnsi="Cambria" w:cs="Cambria" w:eastAsia="Cambria"/>
          <w:sz w:val="22"/>
        </w:rPr>
        <w:t>: Certificado de Conformidad SOIVRE, la aduana libera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 conforme</w:t>
      </w:r>
      <w:r>
        <w:rPr>
          <w:rFonts w:ascii="Cambria" w:hAnsi="Cambria" w:cs="Cambria" w:eastAsia="Cambria"/>
          <w:sz w:val="22"/>
        </w:rPr>
        <w:t>: sin documento, reexportación o destrucción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Despacho condicionado</w:t>
      </w:r>
      <w:r>
        <w:rPr>
          <w:rFonts w:ascii="Cambria" w:hAnsi="Cambria" w:cs="Cambria" w:eastAsia="Cambria"/>
          <w:sz w:val="22"/>
        </w:rPr>
        <w:t>: incumplimientos subsanables (etiquetado, manuales en castellano), compromiso firmado del importador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Subsanables peligrosas: corrección en recinto aduanero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Subsanables no peligrosas: en almacén del importador, bajo supervisión de la AVM autonómica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Sin norma obligatoria o incompleta: normas nacionales, normas europeas no armonizadas, UNE, recomendaciones de la Comisión y códigos de buenas prácticas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ELECTRODOMÉSTICOS Y ELECTRÓNICA DE CONSUMO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Descripción y análisis sectorial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categorías: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Línea blanca</w:t>
      </w:r>
      <w:r>
        <w:rPr>
          <w:rFonts w:ascii="Cambria" w:hAnsi="Cambria" w:cs="Cambria" w:eastAsia="Cambria"/>
          <w:sz w:val="22"/>
        </w:rPr>
        <w:t>: frío, lavado, cocción, climatización, impulsada por el encastre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Electrónica de consumo (línea marrón)</w:t>
      </w:r>
      <w:r>
        <w:rPr>
          <w:rFonts w:ascii="Cambria" w:hAnsi="Cambria" w:cs="Cambria" w:eastAsia="Cambria"/>
          <w:sz w:val="22"/>
        </w:rPr>
        <w:t>: televisores, audio y vídeo, cámaras, instrumentos musicales, con pantalla plana, 4K/8K, streaming, smart home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PAE</w:t>
      </w:r>
      <w:r>
        <w:rPr>
          <w:rFonts w:ascii="Cambria" w:hAnsi="Cambria" w:cs="Cambria" w:eastAsia="Cambria"/>
          <w:sz w:val="22"/>
        </w:rPr>
        <w:t xml:space="preserve"> (pequeño aparato electrodoméstico): mantenimiento del hogar, preparación de alimentos, higiene y belleza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993/2022</w:t>
      </w:r>
      <w:r>
        <w:rPr>
          <w:rFonts w:ascii="Cambria" w:hAnsi="Cambria" w:cs="Cambria" w:eastAsia="Cambria"/>
          <w:sz w:val="22"/>
        </w:rPr>
        <w:t>: inspección SOIVRE en frontera (RoHS/RAEE)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Control físico de AEEs: etiquetado y ausencia de sustancias restringidas (RD 219/2013)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Control documental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Control de inscripción en el RII y declaraciones trimestrales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Producción mundial: UE, EEUU y Japón, con China emergente en línea marrón y PAE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Multinacionales: BSH, Electrolux, Whirlpool, Miele, Samsung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España: BSH (Balay), Electrolux, Amica (adquirió Fagor)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Déficit estructural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Exportación estrella: frigorífico (casi la mitad), lavadoras y planchas, hacia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Importaciones de China, Alemania y Turquía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Obsolescencia programada y derecho a la reparación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Obsolescencia programada</w:t>
      </w:r>
      <w:r>
        <w:rPr>
          <w:rFonts w:ascii="Cambria" w:hAnsi="Cambria" w:cs="Cambria" w:eastAsia="Cambria"/>
          <w:sz w:val="22"/>
        </w:rPr>
        <w:t xml:space="preserve">: fin de vida útil determinado de antemano, genera ingente cantidad de </w:t>
      </w:r>
      <w:r>
        <w:rPr>
          <w:rFonts w:ascii="Cambria" w:hAnsi="Cambria" w:cs="Cambria" w:eastAsia="Cambria"/>
          <w:b/>
          <w:sz w:val="22"/>
        </w:rPr>
        <w:t>RAEE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ESPR (UE 2024/1781)</w:t>
      </w:r>
      <w:r>
        <w:rPr>
          <w:rFonts w:ascii="Cambria" w:hAnsi="Cambria" w:cs="Cambria" w:eastAsia="Cambria"/>
          <w:sz w:val="22"/>
        </w:rPr>
        <w:t xml:space="preserve"> y derecho a la reparación en la </w:t>
      </w:r>
      <w:r>
        <w:rPr>
          <w:rFonts w:ascii="Cambria" w:hAnsi="Cambria" w:cs="Cambria" w:eastAsia="Cambria"/>
          <w:b/>
          <w:sz w:val="22"/>
        </w:rPr>
        <w:t>Directiva (UE) 2024/1799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Reparación a precios razonables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Piezas de repuesto al menos </w:t>
      </w:r>
      <w:r>
        <w:rPr>
          <w:rFonts w:ascii="Cambria" w:hAnsi="Cambria" w:cs="Cambria" w:eastAsia="Cambria"/>
          <w:b/>
          <w:sz w:val="22"/>
        </w:rPr>
        <w:t>10 años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Eficiencia energética y diseño ecológico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2017/1369</w:t>
      </w:r>
      <w:r>
        <w:rPr>
          <w:rFonts w:ascii="Cambria" w:hAnsi="Cambria" w:cs="Cambria" w:eastAsia="Cambria"/>
          <w:sz w:val="22"/>
        </w:rPr>
        <w:t>: etiquetado energético, escala A a G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Reglamentos delegados (2019-2021): frigoríficos, lavadoras, lavavajillas, secadoras y televisores, aplicables desde marzo de 2021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Directiva 2009/125/CE</w:t>
      </w:r>
      <w:r>
        <w:rPr>
          <w:rFonts w:ascii="Cambria" w:hAnsi="Cambria" w:cs="Cambria" w:eastAsia="Cambria"/>
          <w:sz w:val="22"/>
        </w:rPr>
        <w:t xml:space="preserve"> Ecodiseño: sustituida por la </w:t>
      </w:r>
      <w:r>
        <w:rPr>
          <w:rFonts w:ascii="Cambria" w:hAnsi="Cambria" w:cs="Cambria" w:eastAsia="Cambria"/>
          <w:b/>
          <w:sz w:val="22"/>
        </w:rPr>
        <w:t>ESPR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ESPR</w:t>
      </w:r>
      <w:r>
        <w:rPr>
          <w:rFonts w:ascii="Cambria" w:hAnsi="Cambria" w:cs="Cambria" w:eastAsia="Cambria"/>
          <w:sz w:val="22"/>
        </w:rPr>
        <w:t>: durabilidad, reparabilidad, actualizabilidad del software, material reciclado, DPP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Plan RENOVE de Electrodomésticos</w:t>
      </w:r>
      <w:r>
        <w:rPr>
          <w:rFonts w:ascii="Cambria" w:hAnsi="Cambria" w:cs="Cambria" w:eastAsia="Cambria"/>
          <w:sz w:val="22"/>
        </w:rPr>
        <w:t xml:space="preserve"> (MINCOTUR/IDAE y CCAA): sustituir 2 millones de unidades por clase A o superior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Residuos y sustancias peligrosas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 110/2015</w:t>
      </w:r>
      <w:r>
        <w:rPr>
          <w:rFonts w:ascii="Cambria" w:hAnsi="Cambria" w:cs="Cambria" w:eastAsia="Cambria"/>
          <w:sz w:val="22"/>
        </w:rPr>
        <w:t xml:space="preserve"> RAEE: transpone la Directiva 2012/19/UE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Directiva 2011/65/UE RoHS y RD 219/2013</w:t>
      </w:r>
      <w:r>
        <w:rPr>
          <w:rFonts w:ascii="Cambria" w:hAnsi="Cambria" w:cs="Cambria" w:eastAsia="Cambria"/>
          <w:sz w:val="22"/>
        </w:rPr>
        <w:t xml:space="preserve">: plomo y mercurio máx. </w:t>
      </w:r>
      <w:r>
        <w:rPr>
          <w:rFonts w:ascii="Cambria" w:hAnsi="Cambria" w:cs="Cambria" w:eastAsia="Cambria"/>
          <w:b/>
          <w:sz w:val="22"/>
        </w:rPr>
        <w:t>0,1 %</w:t>
      </w:r>
      <w:r>
        <w:rPr>
          <w:rFonts w:ascii="Cambria" w:hAnsi="Cambria" w:cs="Cambria" w:eastAsia="Cambria"/>
          <w:sz w:val="22"/>
        </w:rPr>
        <w:t xml:space="preserve">, cadmio máx. </w:t>
      </w:r>
      <w:r>
        <w:rPr>
          <w:rFonts w:ascii="Cambria" w:hAnsi="Cambria" w:cs="Cambria" w:eastAsia="Cambria"/>
          <w:b/>
          <w:sz w:val="22"/>
        </w:rPr>
        <w:t>0,01 %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Compatibilidad electromagnética y baja tensión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Directiva 2014/35/UE</w:t>
      </w:r>
      <w:r>
        <w:rPr>
          <w:rFonts w:ascii="Cambria" w:hAnsi="Cambria" w:cs="Cambria" w:eastAsia="Cambria"/>
          <w:sz w:val="22"/>
        </w:rPr>
        <w:t xml:space="preserve"> Baja Tensión (RD 187/2016)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Directiva 2014/30/UE</w:t>
      </w:r>
      <w:r>
        <w:rPr>
          <w:rFonts w:ascii="Cambria" w:hAnsi="Cambria" w:cs="Cambria" w:eastAsia="Cambria"/>
          <w:sz w:val="22"/>
        </w:rPr>
        <w:t xml:space="preserve"> CEM (RD 186/2016)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OTROS BIENES DE CONSUMO DURADERO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Incluye óptica y fotografía, relojes, motocicletas y bicicletas, joyería, orfebrería y platería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Joyería, orfebrería y relojería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Mano de obra especializada, exportaciones ~</w:t>
      </w:r>
      <w:r>
        <w:rPr>
          <w:rFonts w:ascii="Cambria" w:hAnsi="Cambria" w:cs="Cambria" w:eastAsia="Cambria"/>
          <w:b/>
          <w:sz w:val="22"/>
        </w:rPr>
        <w:t>20 %</w:t>
      </w:r>
      <w:r>
        <w:rPr>
          <w:rFonts w:ascii="Cambria" w:hAnsi="Cambria" w:cs="Cambria" w:eastAsia="Cambria"/>
          <w:sz w:val="22"/>
        </w:rPr>
        <w:t xml:space="preserve"> de la fabricación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Regiones: Córdoba (plata), Valencia, Madrid, Barcelona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Empresas: Festina, Lotus, Calypso, Carrera, Tous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Saldo deficitario de ~</w:t>
      </w:r>
      <w:r>
        <w:rPr>
          <w:rFonts w:ascii="Cambria" w:hAnsi="Cambria" w:cs="Cambria" w:eastAsia="Cambria"/>
          <w:b/>
          <w:sz w:val="22"/>
        </w:rPr>
        <w:t>-1.500 M€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Importaciones: ~</w:t>
      </w:r>
      <w:r>
        <w:rPr>
          <w:rFonts w:ascii="Cambria" w:hAnsi="Cambria" w:cs="Cambria" w:eastAsia="Cambria"/>
          <w:b/>
          <w:sz w:val="22"/>
        </w:rPr>
        <w:t>50 %</w:t>
      </w:r>
      <w:r>
        <w:rPr>
          <w:rFonts w:ascii="Cambria" w:hAnsi="Cambria" w:cs="Cambria" w:eastAsia="Cambria"/>
          <w:sz w:val="22"/>
        </w:rPr>
        <w:t xml:space="preserve"> de China, después Alemania, Italia y Francia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Exportaciones diversificadas, sobre todo a Francia, Portugal y Alemania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Motocicletas y bicicletas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Motocicletas de </w:t>
      </w:r>
      <w:r>
        <w:rPr>
          <w:rFonts w:ascii="Cambria" w:hAnsi="Cambria" w:cs="Cambria" w:eastAsia="Cambria"/>
          <w:b/>
          <w:sz w:val="22"/>
        </w:rPr>
        <w:t>125 cc</w:t>
      </w:r>
      <w:r>
        <w:rPr>
          <w:rFonts w:ascii="Cambria" w:hAnsi="Cambria" w:cs="Cambria" w:eastAsia="Cambria"/>
          <w:sz w:val="22"/>
        </w:rPr>
        <w:t xml:space="preserve"> en auge: carnet de turismo con más de 3 años y supresión del impuesto de matriculación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Bicicleta eléctrica</w:t>
      </w:r>
      <w:r>
        <w:rPr>
          <w:rFonts w:ascii="Cambria" w:hAnsi="Cambria" w:cs="Cambria" w:eastAsia="Cambria"/>
          <w:sz w:val="22"/>
        </w:rPr>
        <w:t>: crecimiento explosivo por congestión urbana, movilidad sostenible y subvenciones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España, mercado consumidor y productor emergente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Normativa aplicable a otros bienes de consumo duradero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RDL 1/2007 (TRLGDCU)</w:t>
      </w:r>
      <w:r>
        <w:rPr>
          <w:rFonts w:ascii="Cambria" w:hAnsi="Cambria" w:cs="Cambria" w:eastAsia="Cambria"/>
          <w:sz w:val="22"/>
        </w:rPr>
        <w:t>: conformidad del bien con lo ofrecido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(UE) 2019/771 y RDL 7/2021</w:t>
      </w:r>
      <w:r>
        <w:rPr>
          <w:rFonts w:ascii="Cambria" w:hAnsi="Cambria" w:cs="Cambria" w:eastAsia="Cambria"/>
          <w:sz w:val="22"/>
        </w:rPr>
        <w:t xml:space="preserve">: garantía legal de </w:t>
      </w:r>
      <w:r>
        <w:rPr>
          <w:rFonts w:ascii="Cambria" w:hAnsi="Cambria" w:cs="Cambria" w:eastAsia="Cambria"/>
          <w:b/>
          <w:sz w:val="22"/>
        </w:rPr>
        <w:t>3 años</w:t>
      </w:r>
      <w:r>
        <w:rPr>
          <w:rFonts w:ascii="Cambria" w:hAnsi="Cambria" w:cs="Cambria" w:eastAsia="Cambria"/>
          <w:sz w:val="22"/>
        </w:rPr>
        <w:t>, reparar o sustituir sin cargo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RGSP (UE 2023/988)</w:t>
      </w:r>
      <w:r>
        <w:rPr>
          <w:rFonts w:ascii="Cambria" w:hAnsi="Cambria" w:cs="Cambria" w:eastAsia="Cambria"/>
          <w:sz w:val="22"/>
        </w:rPr>
        <w:t>: bicicletas, relojes y joyería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ESPR</w:t>
      </w:r>
      <w:r>
        <w:rPr>
          <w:rFonts w:ascii="Cambria" w:hAnsi="Cambria" w:cs="Cambria" w:eastAsia="Cambria"/>
          <w:sz w:val="22"/>
        </w:rPr>
        <w:t>: durabilidad y reparabilidad de e-bikes por actos delegados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REACH</w:t>
      </w:r>
      <w:r>
        <w:rPr>
          <w:rFonts w:ascii="Cambria" w:hAnsi="Cambria" w:cs="Cambria" w:eastAsia="Cambria"/>
          <w:sz w:val="22"/>
        </w:rPr>
        <w:t>: cadmio, plomo y níquel en joyería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197/1988</w:t>
      </w:r>
      <w:r>
        <w:rPr>
          <w:rFonts w:ascii="Cambria" w:hAnsi="Cambria" w:cs="Cambria" w:eastAsia="Cambria"/>
          <w:sz w:val="22"/>
        </w:rPr>
        <w:t>: metales preciosos, marcaje, contraste y trazabilidad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Competencia internacional (asiática) y exigencias de seguridad y sostenibilidad: el </w:t>
      </w: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como barrera de control en frontera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Orden PJC/161/2026</w:t>
      </w:r>
      <w:r>
        <w:rPr>
          <w:rFonts w:ascii="Cambria" w:hAnsi="Cambria" w:cs="Cambria" w:eastAsia="Cambria"/>
          <w:sz w:val="22"/>
        </w:rPr>
        <w:t xml:space="preserve"> amplía el ámbito: asientos y cunas infantiles, escaleras portátiles, calefactores eléctricos, mobiliario de oficina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Futuro: diseño ecológico, reparabilidad, trazabilidad documental, digitalización y plataformas de venta a distancia refuerzan el papel del SOIVRE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18 – Sector de bienes de consumo duradero: muebles, electrodomésticos y electrónica de consumo.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18 – Sector de bienes de consumo duradero: muebles, electrodomésticos y electrónica de consumo.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