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Frutas</w:t>
      </w:r>
      <w:r>
        <w:rPr>
          <w:rFonts w:ascii="Cambria" w:hAnsi="Cambria" w:cs="Cambria" w:eastAsia="Cambria"/>
          <w:sz w:val="22"/>
        </w:rPr>
        <w:t xml:space="preserve"> 2025: </w:t>
      </w:r>
      <w:r>
        <w:rPr>
          <w:rFonts w:ascii="Cambria" w:hAnsi="Cambria" w:cs="Cambria" w:eastAsia="Cambria"/>
          <w:b/>
          <w:sz w:val="22"/>
        </w:rPr>
        <w:t>11.917,8 M€</w:t>
      </w:r>
      <w:r>
        <w:rPr>
          <w:rFonts w:ascii="Cambria" w:hAnsi="Cambria" w:cs="Cambria" w:eastAsia="Cambria"/>
          <w:sz w:val="22"/>
        </w:rPr>
        <w:t xml:space="preserve"> (+9,7%), </w:t>
      </w:r>
      <w:r>
        <w:rPr>
          <w:rFonts w:ascii="Cambria" w:hAnsi="Cambria" w:cs="Cambria" w:eastAsia="Cambria"/>
          <w:b/>
          <w:sz w:val="22"/>
        </w:rPr>
        <w:t>15,5%</w:t>
      </w:r>
      <w:r>
        <w:rPr>
          <w:rFonts w:ascii="Cambria" w:hAnsi="Cambria" w:cs="Cambria" w:eastAsia="Cambria"/>
          <w:sz w:val="22"/>
        </w:rPr>
        <w:t xml:space="preserve"> de las exportaciones agroalimentarias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Cítricos: superávit </w:t>
      </w:r>
      <w:r>
        <w:rPr>
          <w:rFonts w:ascii="Cambria" w:hAnsi="Cambria" w:cs="Cambria" w:eastAsia="Cambria"/>
          <w:b/>
          <w:sz w:val="22"/>
        </w:rPr>
        <w:t>&gt; 3.300 M€</w:t>
      </w:r>
      <w:r>
        <w:rPr>
          <w:rFonts w:ascii="Cambria" w:hAnsi="Cambria" w:cs="Cambria" w:eastAsia="Cambria"/>
          <w:sz w:val="22"/>
        </w:rPr>
        <w:t>, exportaciones al alza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GTISA</w:t>
      </w:r>
      <w:r>
        <w:rPr>
          <w:rFonts w:ascii="Cambria" w:hAnsi="Cambria" w:cs="Cambria" w:eastAsia="Cambria"/>
          <w:sz w:val="22"/>
        </w:rPr>
        <w:t xml:space="preserve"> (Grupo de Trabajo para la Internacionalización del Sector Agroalimentario), presidido por la Secretaría General de Agricultura y Alimentación del MAPA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Siete grupos, uno de frutas y hortalizas: barreras, mercados, coordinación, dimensión empresarial, promoción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Clementinización</w:t>
      </w:r>
      <w:r>
        <w:rPr>
          <w:rFonts w:ascii="Cambria" w:hAnsi="Cambria" w:cs="Cambria" w:eastAsia="Cambria"/>
          <w:sz w:val="22"/>
        </w:rPr>
        <w:t>: reconversión a fruta de fácil pelado y sin semillas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Márgenes a la baja, sustitución por </w:t>
      </w:r>
      <w:r>
        <w:rPr>
          <w:rFonts w:ascii="Cambria" w:hAnsi="Cambria" w:cs="Cambria" w:eastAsia="Cambria"/>
          <w:b/>
          <w:sz w:val="22"/>
        </w:rPr>
        <w:t>aguacate</w:t>
      </w:r>
      <w:r>
        <w:rPr>
          <w:rFonts w:ascii="Cambria" w:hAnsi="Cambria" w:cs="Cambria" w:eastAsia="Cambria"/>
          <w:sz w:val="22"/>
        </w:rPr>
        <w:t xml:space="preserve"> y otros cultivos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Bloques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Productos: mandarina, naranja dulce, naranja amarga, limón, pomelo, lima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Normativa: PAC y OCM, CEPE/ONU, OCDE, Codex, regímenes voluntarios, legislación general y </w:t>
      </w: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sectorial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Y DESIGNACIÓN DE LOS PRINCIPALES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Familia </w:t>
      </w:r>
      <w:r>
        <w:rPr>
          <w:rFonts w:ascii="Cambria" w:hAnsi="Cambria" w:cs="Cambria" w:eastAsia="Cambria"/>
          <w:b/>
          <w:sz w:val="22"/>
        </w:rPr>
        <w:t>Rutáceas</w:t>
      </w:r>
      <w:r>
        <w:rPr>
          <w:rFonts w:ascii="Cambria" w:hAnsi="Cambria" w:cs="Cambria" w:eastAsia="Cambria"/>
          <w:sz w:val="22"/>
        </w:rPr>
        <w:t xml:space="preserve">, género </w:t>
      </w:r>
      <w:r>
        <w:rPr>
          <w:rFonts w:ascii="Cambria" w:hAnsi="Cambria" w:cs="Cambria" w:eastAsia="Cambria"/>
          <w:b/>
          <w:sz w:val="22"/>
        </w:rPr>
        <w:t>Citrus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Fruto: </w:t>
      </w:r>
      <w:r>
        <w:rPr>
          <w:rFonts w:ascii="Cambria" w:hAnsi="Cambria" w:cs="Cambria" w:eastAsia="Cambria"/>
          <w:b/>
          <w:sz w:val="22"/>
        </w:rPr>
        <w:t>hesperidio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no climatérico</w:t>
      </w:r>
      <w:r>
        <w:rPr>
          <w:rFonts w:ascii="Cambria" w:hAnsi="Cambria" w:cs="Cambria" w:eastAsia="Cambria"/>
          <w:sz w:val="22"/>
        </w:rPr>
        <w:t xml:space="preserve"> (se recolecta maduro)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Flavedo</w:t>
      </w:r>
      <w:r>
        <w:rPr>
          <w:rFonts w:ascii="Cambria" w:hAnsi="Cambria" w:cs="Cambria" w:eastAsia="Cambria"/>
          <w:sz w:val="22"/>
        </w:rPr>
        <w:t xml:space="preserve"> (epicarpio): color y glándulas de aceites esenciales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Albedo</w:t>
      </w:r>
      <w:r>
        <w:rPr>
          <w:rFonts w:ascii="Cambria" w:hAnsi="Cambria" w:cs="Cambria" w:eastAsia="Cambria"/>
          <w:sz w:val="22"/>
        </w:rPr>
        <w:t xml:space="preserve"> (mesocarpio): capa blanca esponjosa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Endocarpio</w:t>
      </w:r>
      <w:r>
        <w:rPr>
          <w:rFonts w:ascii="Cambria" w:hAnsi="Cambria" w:cs="Cambria" w:eastAsia="Cambria"/>
          <w:sz w:val="22"/>
        </w:rPr>
        <w:t xml:space="preserve">: comestible, </w:t>
      </w:r>
      <w:r>
        <w:rPr>
          <w:rFonts w:ascii="Cambria" w:hAnsi="Cambria" w:cs="Cambria" w:eastAsia="Cambria"/>
          <w:b/>
          <w:sz w:val="22"/>
        </w:rPr>
        <w:t>6 a 15 gajos</w:t>
      </w:r>
      <w:r>
        <w:rPr>
          <w:rFonts w:ascii="Cambria" w:hAnsi="Cambria" w:cs="Cambria" w:eastAsia="Cambria"/>
          <w:sz w:val="22"/>
        </w:rPr>
        <w:t xml:space="preserve"> con vesículas de zumo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Mandarina (Citrus reticulata)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Mayor dinamismo varietal: fácil pelado, sin semillas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Clementinas</w:t>
      </w:r>
      <w:r>
        <w:rPr>
          <w:rFonts w:ascii="Cambria" w:hAnsi="Cambria" w:cs="Cambria" w:eastAsia="Cambria"/>
          <w:sz w:val="22"/>
        </w:rPr>
        <w:t xml:space="preserve"> (C. clementina): las más cultivadas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Precoces Marisol y Oronules (sep-oct), </w:t>
      </w:r>
      <w:r>
        <w:rPr>
          <w:rFonts w:ascii="Cambria" w:hAnsi="Cambria" w:cs="Cambria" w:eastAsia="Cambria"/>
          <w:b/>
          <w:sz w:val="22"/>
        </w:rPr>
        <w:t>Clemenules</w:t>
      </w:r>
      <w:r>
        <w:rPr>
          <w:rFonts w:ascii="Cambria" w:hAnsi="Cambria" w:cs="Cambria" w:eastAsia="Cambria"/>
          <w:sz w:val="22"/>
        </w:rPr>
        <w:t xml:space="preserve"> (nov-ene), tardía Hernandina (ene-feb)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Satsumas</w:t>
      </w:r>
      <w:r>
        <w:rPr>
          <w:rFonts w:ascii="Cambria" w:hAnsi="Cambria" w:cs="Cambria" w:eastAsia="Cambria"/>
          <w:sz w:val="22"/>
        </w:rPr>
        <w:t xml:space="preserve"> (C. unshiu): Japón, sin semillas, muy precoces, menor calidad gustativa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Okitsu y Hashimoto, Owari (industria de gajos)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Híbridos</w:t>
      </w:r>
      <w:r>
        <w:rPr>
          <w:rFonts w:ascii="Cambria" w:hAnsi="Cambria" w:cs="Cambria" w:eastAsia="Cambria"/>
          <w:sz w:val="22"/>
        </w:rPr>
        <w:t>: alargan la campaña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Nova o Clemenvilla, Ortanique (feb-may), protegidas Nadorcott, Tango, Orri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Fortune en retroceso por alternaria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Naranja dulce (Citrus sinensis)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Navel</w:t>
      </w:r>
      <w:r>
        <w:rPr>
          <w:rFonts w:ascii="Cambria" w:hAnsi="Cambria" w:cs="Cambria" w:eastAsia="Cambria"/>
          <w:sz w:val="22"/>
        </w:rPr>
        <w:t>: grandes, sin semillas, con ombligo, para mesa (limonina provoca amargor en zumo)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Navelina (oct-ene), Washington Navel, tardías Navel Late, Lane Late, Powell (ene-may)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Sangre</w:t>
      </w:r>
      <w:r>
        <w:rPr>
          <w:rFonts w:ascii="Cambria" w:hAnsi="Cambria" w:cs="Cambria" w:eastAsia="Cambria"/>
          <w:sz w:val="22"/>
        </w:rPr>
        <w:t>: color por antocianinas, Sanguinelli (ene-mar)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Blancas</w:t>
      </w:r>
      <w:r>
        <w:rPr>
          <w:rFonts w:ascii="Cambria" w:hAnsi="Cambria" w:cs="Cambria" w:eastAsia="Cambria"/>
          <w:sz w:val="22"/>
        </w:rPr>
        <w:t>: sin ombligo, bajo en limonina, aptas para zumo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Salustiana (dic-mar), Valencia Late (mar-jun)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Naranja amarga (Citrus aurantium)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Híbrido de C. maxima y C. reticulata, muy ácida, no se consume cruda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Usos: mermelada (marmalade), aceites esenciales, agua de azahar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Patrón tradicional, sustituido por patrones tolerantes a la tristeza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Limón (Citrus limon)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Ovalado, 8 a 10 gajos, más condimento que fruta de postre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Fino o Primofiori</w:t>
      </w:r>
      <w:r>
        <w:rPr>
          <w:rFonts w:ascii="Cambria" w:hAnsi="Cambria" w:cs="Cambria" w:eastAsia="Cambria"/>
          <w:sz w:val="22"/>
        </w:rPr>
        <w:t>: unos dos tercios de la producción (oct-feb), mucho zumo, más semillas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Verna</w:t>
      </w:r>
      <w:r>
        <w:rPr>
          <w:rFonts w:ascii="Cambria" w:hAnsi="Cambria" w:cs="Cambria" w:eastAsia="Cambria"/>
          <w:sz w:val="22"/>
        </w:rPr>
        <w:t>: tardía (feb-jul), corteza gruesa, refloreciente (rodrejos)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Eureka y Lisbon: dominan en EEUU, Argentina, Sudáfrica y Australia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Pomelo (Citrus paradisi)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10 a 12 gajos, amargor por </w:t>
      </w:r>
      <w:r>
        <w:rPr>
          <w:rFonts w:ascii="Cambria" w:hAnsi="Cambria" w:cs="Cambria" w:eastAsia="Cambria"/>
          <w:b/>
          <w:sz w:val="22"/>
        </w:rPr>
        <w:t>naringina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Marsh Seedless: pulpa amarilla, blanca de referencia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Star Ruby y Rio Red: pulpa roja por </w:t>
      </w:r>
      <w:r>
        <w:rPr>
          <w:rFonts w:ascii="Cambria" w:hAnsi="Cambria" w:cs="Cambria" w:eastAsia="Cambria"/>
          <w:b/>
          <w:sz w:val="22"/>
        </w:rPr>
        <w:t>licopeno</w:t>
      </w:r>
      <w:r>
        <w:rPr>
          <w:rFonts w:ascii="Cambria" w:hAnsi="Cambria" w:cs="Cambria" w:eastAsia="Cambria"/>
          <w:sz w:val="22"/>
        </w:rPr>
        <w:t>, las más demandadas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Lima (Citrus latifolia / Citrus aurantifolia)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Pequeña, piel verde, pulpa muy ácida, se comercializa en verde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Tahití / Persian lime</w:t>
      </w:r>
      <w:r>
        <w:rPr>
          <w:rFonts w:ascii="Cambria" w:hAnsi="Cambria" w:cs="Cambria" w:eastAsia="Cambria"/>
          <w:sz w:val="22"/>
        </w:rPr>
        <w:t>: sin semillas, la más comercializada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Lima mexicana / Key lime</w:t>
      </w:r>
      <w:r>
        <w:rPr>
          <w:rFonts w:ascii="Cambria" w:hAnsi="Cambria" w:cs="Cambria" w:eastAsia="Cambria"/>
          <w:sz w:val="22"/>
        </w:rPr>
        <w:t>: con semillas, más aromática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Calidad comercial: características externas e internas que determinan la aptitud para comercializar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Normas UE: </w:t>
      </w:r>
      <w:r>
        <w:rPr>
          <w:rFonts w:ascii="Cambria" w:hAnsi="Cambria" w:cs="Cambria" w:eastAsia="Cambria"/>
          <w:b/>
          <w:sz w:val="22"/>
        </w:rPr>
        <w:t>Reglamento Delegado (UE) 2023/2429</w:t>
      </w:r>
      <w:r>
        <w:rPr>
          <w:rFonts w:ascii="Cambria" w:hAnsi="Cambria" w:cs="Cambria" w:eastAsia="Cambria"/>
          <w:sz w:val="22"/>
        </w:rPr>
        <w:t xml:space="preserve">, aplicable desde el </w:t>
      </w:r>
      <w:r>
        <w:rPr>
          <w:rFonts w:ascii="Cambria" w:hAnsi="Cambria" w:cs="Cambria" w:eastAsia="Cambria"/>
          <w:b/>
          <w:sz w:val="22"/>
        </w:rPr>
        <w:t>1 de enero de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 general</w:t>
      </w:r>
      <w:r>
        <w:rPr>
          <w:rFonts w:ascii="Cambria" w:hAnsi="Cambria" w:cs="Cambria" w:eastAsia="Cambria"/>
          <w:sz w:val="22"/>
        </w:rPr>
        <w:t>: pomelos y limas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 específica de cítricos</w:t>
      </w:r>
      <w:r>
        <w:rPr>
          <w:rFonts w:ascii="Cambria" w:hAnsi="Cambria" w:cs="Cambria" w:eastAsia="Cambria"/>
          <w:sz w:val="22"/>
        </w:rPr>
        <w:t>: limones, naranjas y mandarinas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Categorías </w:t>
      </w:r>
      <w:r>
        <w:rPr>
          <w:rFonts w:ascii="Cambria" w:hAnsi="Cambria" w:cs="Cambria" w:eastAsia="Cambria"/>
          <w:b/>
          <w:sz w:val="22"/>
        </w:rPr>
        <w:t>Extra, I y II</w:t>
      </w:r>
      <w:r>
        <w:rPr>
          <w:rFonts w:ascii="Cambria" w:hAnsi="Cambria" w:cs="Cambria" w:eastAsia="Cambria"/>
          <w:sz w:val="22"/>
        </w:rPr>
        <w:t>, calibrado por diámetro, tolerancias, presentación, marcado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Requisitos mínimos</w:t>
      </w:r>
      <w:r>
        <w:rPr>
          <w:rFonts w:ascii="Cambria" w:hAnsi="Cambria" w:cs="Cambria" w:eastAsia="Cambria"/>
          <w:sz w:val="22"/>
        </w:rPr>
        <w:t>: enteros, sanos, limpios, prácticamente exentos de plagas y de sus daños en pulpa, sin humedad exterior anormal, sin olores ni sabores extraños, aptos para transporte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Marcado: destaca el </w:t>
      </w:r>
      <w:r>
        <w:rPr>
          <w:rFonts w:ascii="Cambria" w:hAnsi="Cambria" w:cs="Cambria" w:eastAsia="Cambria"/>
          <w:b/>
          <w:sz w:val="22"/>
        </w:rPr>
        <w:t>país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Madurez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Fisiológica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comercial</w:t>
      </w:r>
      <w:r>
        <w:rPr>
          <w:rFonts w:ascii="Cambria" w:hAnsi="Cambria" w:cs="Cambria" w:eastAsia="Cambria"/>
          <w:sz w:val="22"/>
        </w:rPr>
        <w:t xml:space="preserve"> (según mercado y norma) y </w:t>
      </w:r>
      <w:r>
        <w:rPr>
          <w:rFonts w:ascii="Cambria" w:hAnsi="Cambria" w:cs="Cambria" w:eastAsia="Cambria"/>
          <w:b/>
          <w:sz w:val="22"/>
        </w:rPr>
        <w:t>de consumo</w:t>
      </w:r>
      <w:r>
        <w:rPr>
          <w:rFonts w:ascii="Cambria" w:hAnsi="Cambria" w:cs="Cambria" w:eastAsia="Cambria"/>
          <w:sz w:val="22"/>
        </w:rPr>
        <w:t xml:space="preserve"> (gustativa)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Presión del mercado puede incentivar cosechar verde, de ahí los parámetros objetivos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Frutos </w:t>
      </w:r>
      <w:r>
        <w:rPr>
          <w:rFonts w:ascii="Cambria" w:hAnsi="Cambria" w:cs="Cambria" w:eastAsia="Cambria"/>
          <w:b/>
          <w:sz w:val="22"/>
        </w:rPr>
        <w:t>climatéricos</w:t>
      </w:r>
      <w:r>
        <w:rPr>
          <w:rFonts w:ascii="Cambria" w:hAnsi="Cambria" w:cs="Cambria" w:eastAsia="Cambria"/>
          <w:sz w:val="22"/>
        </w:rPr>
        <w:t xml:space="preserve"> (manzana, pera, aguacate, kiwi) frente a </w:t>
      </w:r>
      <w:r>
        <w:rPr>
          <w:rFonts w:ascii="Cambria" w:hAnsi="Cambria" w:cs="Cambria" w:eastAsia="Cambria"/>
          <w:b/>
          <w:sz w:val="22"/>
        </w:rPr>
        <w:t>no climatéricos</w:t>
      </w:r>
      <w:r>
        <w:rPr>
          <w:rFonts w:ascii="Cambria" w:hAnsi="Cambria" w:cs="Cambria" w:eastAsia="Cambria"/>
          <w:sz w:val="22"/>
        </w:rPr>
        <w:t xml:space="preserve"> (cítricos, uva, fresa)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Índices objetivos: firmeza, color, </w:t>
      </w:r>
      <w:r>
        <w:rPr>
          <w:rFonts w:ascii="Cambria" w:hAnsi="Cambria" w:cs="Cambria" w:eastAsia="Cambria"/>
          <w:b/>
          <w:sz w:val="22"/>
        </w:rPr>
        <w:t>grados Brix</w:t>
      </w:r>
      <w:r>
        <w:rPr>
          <w:rFonts w:ascii="Cambria" w:hAnsi="Cambria" w:cs="Cambria" w:eastAsia="Cambria"/>
          <w:sz w:val="22"/>
        </w:rPr>
        <w:t>, acidez y relación azúcares/acidez, almidón, materia seca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son legales si la norma los fija (Brix en kiwi y uva de mesa)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Madurez en cítricos: </w:t>
      </w:r>
      <w:r>
        <w:rPr>
          <w:rFonts w:ascii="Cambria" w:hAnsi="Cambria" w:cs="Cambria" w:eastAsia="Cambria"/>
          <w:b/>
          <w:sz w:val="22"/>
        </w:rPr>
        <w:t>zumo mínimo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relación azúcares/ácidos</w:t>
      </w:r>
      <w:r>
        <w:rPr>
          <w:rFonts w:ascii="Cambria" w:hAnsi="Cambria" w:cs="Cambria" w:eastAsia="Cambria"/>
          <w:sz w:val="22"/>
        </w:rPr>
        <w:t>, coloración típica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20%</w:t>
      </w:r>
      <w:r>
        <w:rPr>
          <w:rFonts w:ascii="Cambria" w:hAnsi="Cambria" w:cs="Cambria" w:eastAsia="Cambria"/>
          <w:sz w:val="22"/>
        </w:rPr>
        <w:t xml:space="preserve"> de zumo en limones, </w:t>
      </w:r>
      <w:r>
        <w:rPr>
          <w:rFonts w:ascii="Cambria" w:hAnsi="Cambria" w:cs="Cambria" w:eastAsia="Cambria"/>
          <w:b/>
          <w:sz w:val="22"/>
        </w:rPr>
        <w:t>6,5:1</w:t>
      </w:r>
      <w:r>
        <w:rPr>
          <w:rFonts w:ascii="Cambria" w:hAnsi="Cambria" w:cs="Cambria" w:eastAsia="Cambria"/>
          <w:sz w:val="22"/>
        </w:rPr>
        <w:t xml:space="preserve"> en naranjas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Desverdizado</w:t>
      </w:r>
      <w:r>
        <w:rPr>
          <w:rFonts w:ascii="Cambria" w:hAnsi="Cambria" w:cs="Cambria" w:eastAsia="Cambria"/>
          <w:sz w:val="22"/>
        </w:rPr>
        <w:t xml:space="preserve"> admitido, con indicación de conservantes poscosecha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ámbitos distintos de aptitud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categoría, calibre, defectos, madurez, marcado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Sanidad vegetal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2016/2031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Mosca mediterránea, cochinillas, trips, virus de la tristeza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Cuarentena: </w:t>
      </w:r>
      <w:r>
        <w:rPr>
          <w:rFonts w:ascii="Cambria" w:hAnsi="Cambria" w:cs="Cambria" w:eastAsia="Cambria"/>
          <w:b/>
          <w:sz w:val="22"/>
        </w:rPr>
        <w:t>mancha negra</w:t>
      </w:r>
      <w:r>
        <w:rPr>
          <w:rFonts w:ascii="Cambria" w:hAnsi="Cambria" w:cs="Cambria" w:eastAsia="Cambria"/>
          <w:sz w:val="22"/>
        </w:rPr>
        <w:t xml:space="preserve"> (Phyllosticta citricarpa), </w:t>
      </w:r>
      <w:r>
        <w:rPr>
          <w:rFonts w:ascii="Cambria" w:hAnsi="Cambria" w:cs="Cambria" w:eastAsia="Cambria"/>
          <w:b/>
          <w:sz w:val="22"/>
        </w:rPr>
        <w:t>falsa polilla</w:t>
      </w:r>
      <w:r>
        <w:rPr>
          <w:rFonts w:ascii="Cambria" w:hAnsi="Cambria" w:cs="Cambria" w:eastAsia="Cambria"/>
          <w:sz w:val="22"/>
        </w:rPr>
        <w:t xml:space="preserve"> (frío a cítricos sudafricanos), </w:t>
      </w:r>
      <w:r>
        <w:rPr>
          <w:rFonts w:ascii="Cambria" w:hAnsi="Cambria" w:cs="Cambria" w:eastAsia="Cambria"/>
          <w:b/>
          <w:sz w:val="22"/>
        </w:rPr>
        <w:t>HLB o greening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Seguridad alimentaria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LMR</w:t>
      </w:r>
      <w:r>
        <w:rPr>
          <w:rFonts w:ascii="Cambria" w:hAnsi="Cambria" w:cs="Cambria" w:eastAsia="Cambria"/>
          <w:sz w:val="22"/>
        </w:rPr>
        <w:t xml:space="preserve"> de plaguicidas y contaminantes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la sostenibilidad y la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FEADER). En España,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>, ayuda básica a la renta para la sostenibilidad (sustituye pago básico y greening)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Organización Común de Mercados (OCM) y normas de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 xml:space="preserve">: Reglamento Delegado </w:t>
      </w:r>
      <w:r>
        <w:rPr>
          <w:rFonts w:ascii="Cambria" w:hAnsi="Cambria" w:cs="Cambria" w:eastAsia="Cambria"/>
          <w:b/>
          <w:sz w:val="22"/>
        </w:rPr>
        <w:t>2023/2429</w:t>
      </w:r>
      <w:r>
        <w:rPr>
          <w:rFonts w:ascii="Cambria" w:hAnsi="Cambria" w:cs="Cambria" w:eastAsia="Cambria"/>
          <w:sz w:val="22"/>
        </w:rPr>
        <w:t xml:space="preserve"> (sustituyó al 543/2011) y Reglamento de Ejecución </w:t>
      </w:r>
      <w:r>
        <w:rPr>
          <w:rFonts w:ascii="Cambria" w:hAnsi="Cambria" w:cs="Cambria" w:eastAsia="Cambria"/>
          <w:b/>
          <w:sz w:val="22"/>
        </w:rPr>
        <w:t>2023/2430</w:t>
      </w:r>
      <w:r>
        <w:rPr>
          <w:rFonts w:ascii="Cambria" w:hAnsi="Cambria" w:cs="Cambria" w:eastAsia="Cambria"/>
          <w:sz w:val="22"/>
        </w:rPr>
        <w:t xml:space="preserve"> (controles de conformidad)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Base CEPE/ONU (WP.7). Esquema: definición, calidad, calibrado, tolerancias, presentación, marcado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Controles en todas las fases y a terceros países (normas UE o equivalentes). </w:t>
      </w:r>
      <w:r>
        <w:rPr>
          <w:rFonts w:ascii="Cambria" w:hAnsi="Cambria" w:cs="Cambria" w:eastAsia="Cambria"/>
          <w:b/>
          <w:sz w:val="22"/>
        </w:rPr>
        <w:t>RD 175/2004</w:t>
      </w:r>
      <w:r>
        <w:rPr>
          <w:rFonts w:ascii="Cambria" w:hAnsi="Cambria" w:cs="Cambria" w:eastAsia="Cambria"/>
          <w:sz w:val="22"/>
        </w:rPr>
        <w:t>: autoridad coordinadora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Programas operativos con fondo operativo, intervención sectorial del 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 xml:space="preserve">: art. 157 del Reglamento 1308/2013 y </w:t>
      </w:r>
      <w:r>
        <w:rPr>
          <w:rFonts w:ascii="Cambria" w:hAnsi="Cambria" w:cs="Cambria" w:eastAsia="Cambria"/>
          <w:b/>
          <w:sz w:val="22"/>
        </w:rPr>
        <w:t>Ley 38/1994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Defensa y promoción. </w:t>
      </w:r>
      <w:r>
        <w:rPr>
          <w:rFonts w:ascii="Cambria" w:hAnsi="Cambria" w:cs="Cambria" w:eastAsia="Cambria"/>
          <w:b/>
          <w:sz w:val="22"/>
        </w:rPr>
        <w:t>AILIMPO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INTERCITRUS</w:t>
      </w:r>
      <w:r>
        <w:rPr>
          <w:rFonts w:ascii="Cambria" w:hAnsi="Cambria" w:cs="Cambria" w:eastAsia="Cambria"/>
          <w:sz w:val="22"/>
        </w:rPr>
        <w:t xml:space="preserve">. Asociación: </w:t>
      </w:r>
      <w:r>
        <w:rPr>
          <w:rFonts w:ascii="Cambria" w:hAnsi="Cambria" w:cs="Cambria" w:eastAsia="Cambria"/>
          <w:b/>
          <w:sz w:val="22"/>
        </w:rPr>
        <w:t>FEPEX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prevención y gestión de crisis, retirada con compensación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FEGA gestiona, FEAGA financia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Precios de entrada</w:t>
      </w:r>
      <w:r>
        <w:rPr>
          <w:rFonts w:ascii="Cambria" w:hAnsi="Cambria" w:cs="Cambria" w:eastAsia="Cambria"/>
          <w:sz w:val="22"/>
        </w:rPr>
        <w:t xml:space="preserve"> en naranjas, clementinas, mandarinas y limones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Normativa internacional y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CEPE/ONU</w:t>
      </w:r>
      <w:r>
        <w:rPr>
          <w:rFonts w:ascii="Cambria" w:hAnsi="Cambria" w:cs="Cambria" w:eastAsia="Cambria"/>
          <w:sz w:val="22"/>
        </w:rPr>
        <w:t xml:space="preserve"> (WP.7): normas voluntarias, base técnica de las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Marco: </w:t>
      </w:r>
      <w:r>
        <w:rPr>
          <w:rFonts w:ascii="Cambria" w:hAnsi="Cambria" w:cs="Cambria" w:eastAsia="Cambria"/>
          <w:b/>
          <w:sz w:val="22"/>
        </w:rPr>
        <w:t>Acuerdo de Ginebra</w:t>
      </w:r>
      <w:r>
        <w:rPr>
          <w:rFonts w:ascii="Cambria" w:hAnsi="Cambria" w:cs="Cambria" w:eastAsia="Cambria"/>
          <w:sz w:val="22"/>
        </w:rPr>
        <w:t xml:space="preserve"> (sustituyó al Protocolo)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>: folletos interpretativos con fotografías de defectos y cartas colorimétricas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 (FAO y OMS): voluntario, referencia en Acuerdos </w:t>
      </w:r>
      <w:r>
        <w:rPr>
          <w:rFonts w:ascii="Cambria" w:hAnsi="Cambria" w:cs="Cambria" w:eastAsia="Cambria"/>
          <w:b/>
          <w:sz w:val="22"/>
        </w:rPr>
        <w:t>MSF y OTC</w:t>
      </w:r>
      <w:r>
        <w:rPr>
          <w:rFonts w:ascii="Cambria" w:hAnsi="Cambria" w:cs="Cambria" w:eastAsia="Cambria"/>
          <w:sz w:val="22"/>
        </w:rPr>
        <w:t xml:space="preserve"> de la 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para naranja, pomelo y lima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Regímenes voluntarios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 xml:space="preserve">: normas </w:t>
      </w:r>
      <w:r>
        <w:rPr>
          <w:rFonts w:ascii="Cambria" w:hAnsi="Cambria" w:cs="Cambria" w:eastAsia="Cambria"/>
          <w:b/>
          <w:sz w:val="22"/>
        </w:rPr>
        <w:t>UNE 155000</w:t>
      </w:r>
      <w:r>
        <w:rPr>
          <w:rFonts w:ascii="Cambria" w:hAnsi="Cambria" w:cs="Cambria" w:eastAsia="Cambria"/>
          <w:sz w:val="22"/>
        </w:rPr>
        <w:t>, comité CTN 155, certificable por AENOR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RD 1201/2002</w:t>
      </w:r>
      <w:r>
        <w:rPr>
          <w:rFonts w:ascii="Cambria" w:hAnsi="Cambria" w:cs="Cambria" w:eastAsia="Cambria"/>
          <w:sz w:val="22"/>
        </w:rPr>
        <w:t xml:space="preserve">, desarrollo autonómico, logotipo por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>, desde 1 de enero de 2022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Importaciones: conformidad, con equivalencia en acuerdos comerciales y transitoria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COI</w:t>
      </w:r>
      <w:r>
        <w:rPr>
          <w:rFonts w:ascii="Cambria" w:hAnsi="Cambria" w:cs="Cambria" w:eastAsia="Cambria"/>
          <w:sz w:val="22"/>
        </w:rPr>
        <w:t xml:space="preserve"> electrónico en TRACES: </w:t>
      </w:r>
      <w:r>
        <w:rPr>
          <w:rFonts w:ascii="Cambria" w:hAnsi="Cambria" w:cs="Cambria" w:eastAsia="Cambria"/>
          <w:b/>
          <w:sz w:val="22"/>
        </w:rPr>
        <w:t>Reglamento Delegado (UE) 2021/2306</w:t>
      </w:r>
      <w:r>
        <w:rPr>
          <w:rFonts w:ascii="Cambria" w:hAnsi="Cambria" w:cs="Cambria" w:eastAsia="Cambria"/>
          <w:sz w:val="22"/>
        </w:rPr>
        <w:t xml:space="preserve"> y de Ejecución </w:t>
      </w:r>
      <w:r>
        <w:rPr>
          <w:rFonts w:ascii="Cambria" w:hAnsi="Cambria" w:cs="Cambria" w:eastAsia="Cambria"/>
          <w:b/>
          <w:sz w:val="22"/>
        </w:rPr>
        <w:t>2021/2307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controla la importación (</w:t>
      </w: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>: ámbito supraautonómico, control del MAPA por la AICA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IGP Cítricos Valencianos, IGP Clementinas de las Tierras del Ebro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Protocolos privados</w:t>
      </w:r>
      <w:r>
        <w:rPr>
          <w:rFonts w:ascii="Cambria" w:hAnsi="Cambria" w:cs="Cambria" w:eastAsia="Cambria"/>
          <w:sz w:val="22"/>
        </w:rPr>
        <w:t>: GLOBALG.A.P., Tesco Nurture, GFSI (IFS, BRCGS, SQF)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Normativa general y control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Legislación alimentaria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(CE) 178/2002</w:t>
      </w:r>
      <w:r>
        <w:rPr>
          <w:rFonts w:ascii="Cambria" w:hAnsi="Cambria" w:cs="Cambria" w:eastAsia="Cambria"/>
          <w:sz w:val="22"/>
        </w:rPr>
        <w:t>: principios y trazabilidad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Paquete de higiene: </w:t>
      </w:r>
      <w:r>
        <w:rPr>
          <w:rFonts w:ascii="Cambria" w:hAnsi="Cambria" w:cs="Cambria" w:eastAsia="Cambria"/>
          <w:b/>
          <w:sz w:val="22"/>
        </w:rPr>
        <w:t>(CE) 852/2004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853/2004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(CE) 396/2005</w:t>
      </w:r>
      <w:r>
        <w:rPr>
          <w:rFonts w:ascii="Cambria" w:hAnsi="Cambria" w:cs="Cambria" w:eastAsia="Cambria"/>
          <w:sz w:val="22"/>
        </w:rPr>
        <w:t>: LMR de plaguicidas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2017/625</w:t>
      </w:r>
      <w:r>
        <w:rPr>
          <w:rFonts w:ascii="Cambria" w:hAnsi="Cambria" w:cs="Cambria" w:eastAsia="Cambria"/>
          <w:sz w:val="22"/>
        </w:rPr>
        <w:t xml:space="preserve">: controles oficiales, en España </w:t>
      </w:r>
      <w:r>
        <w:rPr>
          <w:rFonts w:ascii="Cambria" w:hAnsi="Cambria" w:cs="Cambria" w:eastAsia="Cambria"/>
          <w:b/>
          <w:sz w:val="22"/>
        </w:rPr>
        <w:t>RD 562/2025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alimentaria, régimen sancionador común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2025/40</w:t>
      </w:r>
      <w:r>
        <w:rPr>
          <w:rFonts w:ascii="Cambria" w:hAnsi="Cambria" w:cs="Cambria" w:eastAsia="Cambria"/>
          <w:sz w:val="22"/>
        </w:rPr>
        <w:t xml:space="preserve"> (envases, aplicable desde agosto de 2026) y </w:t>
      </w:r>
      <w:r>
        <w:rPr>
          <w:rFonts w:ascii="Cambria" w:hAnsi="Cambria" w:cs="Cambria" w:eastAsia="Cambria"/>
          <w:b/>
          <w:sz w:val="22"/>
        </w:rPr>
        <w:t>RD 1055/2022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pérdidas y desperdicio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: inspección de calidad comercial del </w:t>
      </w: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Anexo sustituido por </w:t>
      </w:r>
      <w:r>
        <w:rPr>
          <w:rFonts w:ascii="Cambria" w:hAnsi="Cambria" w:cs="Cambria" w:eastAsia="Cambria"/>
          <w:b/>
          <w:sz w:val="22"/>
        </w:rPr>
        <w:t>Orden ECM/1002/2026</w:t>
      </w:r>
      <w:r>
        <w:rPr>
          <w:rFonts w:ascii="Cambria" w:hAnsi="Cambria" w:cs="Cambria" w:eastAsia="Cambria"/>
          <w:sz w:val="22"/>
        </w:rPr>
        <w:t>, de 9 de septiembre, para adaptarlo a los Reglamentos 2023/2429 y 2023/2430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Dos grupos: control de conformidad (importación y exportación con terceros países) o solo indicación de origen (frutos secos sin cáscara, desecadas, cortadas)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Selección por </w:t>
      </w:r>
      <w:r>
        <w:rPr>
          <w:rFonts w:ascii="Cambria" w:hAnsi="Cambria" w:cs="Cambria" w:eastAsia="Cambria"/>
          <w:b/>
          <w:sz w:val="22"/>
        </w:rPr>
        <w:t>análisis de 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Certificado de conformidad</w:t>
      </w:r>
      <w:r>
        <w:rPr>
          <w:rFonts w:ascii="Cambria" w:hAnsi="Cambria" w:cs="Cambria" w:eastAsia="Cambria"/>
          <w:sz w:val="22"/>
        </w:rPr>
        <w:t xml:space="preserve"> (Reglamento 2023/2430), necesario para el despacho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Inspecciona </w:t>
      </w:r>
      <w:r>
        <w:rPr>
          <w:rFonts w:ascii="Cambria" w:hAnsi="Cambria" w:cs="Cambria" w:eastAsia="Cambria"/>
          <w:b/>
          <w:sz w:val="22"/>
        </w:rPr>
        <w:t>agrios frescos</w:t>
      </w:r>
      <w:r>
        <w:rPr>
          <w:rFonts w:ascii="Cambria" w:hAnsi="Cambria" w:cs="Cambria" w:eastAsia="Cambria"/>
          <w:sz w:val="22"/>
        </w:rPr>
        <w:t xml:space="preserve"> a la importación y exportación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Producción y consumo mundial al alza desde los 80 (transporte y envasado), sobre todo mandarinas, naranjas, limones y pomelos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Cítricos: China, Brasil, India y México, luego EEUU, España, Turquía y Egipto. España, primer productor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Naranja: Brasil (zumo), China, India, México, Egipto. EEUU cae por el HLB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Mandarinas: China, España, Turquía, Marruecos, Japón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Limones y limas: India, México, China, Argentina, Turquía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Pomelos: China, Vietnam, EEUU, México, Sudáfrica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Zonas en España</w:t>
      </w:r>
      <w:r>
        <w:rPr>
          <w:rFonts w:ascii="Cambria" w:hAnsi="Cambria" w:cs="Cambria" w:eastAsia="Cambria"/>
          <w:sz w:val="22"/>
        </w:rPr>
        <w:t>: de Tarragona a Huelva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Levante y Andalucía. Comunidad Valenciana: </w:t>
      </w:r>
      <w:r>
        <w:rPr>
          <w:rFonts w:ascii="Cambria" w:hAnsi="Cambria" w:cs="Cambria" w:eastAsia="Cambria"/>
          <w:b/>
          <w:sz w:val="22"/>
        </w:rPr>
        <w:t>70%</w:t>
      </w:r>
      <w:r>
        <w:rPr>
          <w:rFonts w:ascii="Cambria" w:hAnsi="Cambria" w:cs="Cambria" w:eastAsia="Cambria"/>
          <w:sz w:val="22"/>
        </w:rPr>
        <w:t xml:space="preserve"> de la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2025: </w:t>
      </w:r>
      <w:r>
        <w:rPr>
          <w:rFonts w:ascii="Cambria" w:hAnsi="Cambria" w:cs="Cambria" w:eastAsia="Cambria"/>
          <w:b/>
          <w:sz w:val="22"/>
        </w:rPr>
        <w:t>3.697,8 M€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3.022.243 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Naranja: Comunitat Valenciana y Andalucía. Mandarina: C. Valenciana, clementinas. Limón: Murcia. Pomelo: Murcia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Competidores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Marruecos (tardías), Egipto (naranja, precio), Turquía (satsumas, limones, pomelos), Israel, Grecia, Italia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Hemisferio sur (Sudáfrica) solapa inicio y final de campaña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Cítricos: </w:t>
      </w:r>
      <w:r>
        <w:rPr>
          <w:rFonts w:ascii="Cambria" w:hAnsi="Cambria" w:cs="Cambria" w:eastAsia="Cambria"/>
          <w:b/>
          <w:sz w:val="22"/>
        </w:rPr>
        <w:t>31,0%</w:t>
      </w:r>
      <w:r>
        <w:rPr>
          <w:rFonts w:ascii="Cambria" w:hAnsi="Cambria" w:cs="Cambria" w:eastAsia="Cambria"/>
          <w:sz w:val="22"/>
        </w:rPr>
        <w:t xml:space="preserve"> de las exportaciones de frutas (antes en torno al 35%)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UE 86,4%</w:t>
      </w:r>
      <w:r>
        <w:rPr>
          <w:rFonts w:ascii="Cambria" w:hAnsi="Cambria" w:cs="Cambria" w:eastAsia="Cambria"/>
          <w:sz w:val="22"/>
        </w:rPr>
        <w:t>: Alemania, Francia, Países Bajos. Reino Unido entre terceros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Caídas: Canadá </w:t>
      </w:r>
      <w:r>
        <w:rPr>
          <w:rFonts w:ascii="Cambria" w:hAnsi="Cambria" w:cs="Cambria" w:eastAsia="Cambria"/>
          <w:b/>
          <w:sz w:val="22"/>
        </w:rPr>
        <w:t>-39,1%</w:t>
      </w:r>
      <w:r>
        <w:rPr>
          <w:rFonts w:ascii="Cambria" w:hAnsi="Cambria" w:cs="Cambria" w:eastAsia="Cambria"/>
          <w:sz w:val="22"/>
        </w:rPr>
        <w:t xml:space="preserve">, EEUU </w:t>
      </w:r>
      <w:r>
        <w:rPr>
          <w:rFonts w:ascii="Cambria" w:hAnsi="Cambria" w:cs="Cambria" w:eastAsia="Cambria"/>
          <w:b/>
          <w:sz w:val="22"/>
        </w:rPr>
        <w:t>-76%</w:t>
      </w:r>
      <w:r>
        <w:rPr>
          <w:rFonts w:ascii="Cambria" w:hAnsi="Cambria" w:cs="Cambria" w:eastAsia="Cambria"/>
          <w:sz w:val="22"/>
        </w:rPr>
        <w:t xml:space="preserve">, China </w:t>
      </w:r>
      <w:r>
        <w:rPr>
          <w:rFonts w:ascii="Cambria" w:hAnsi="Cambria" w:cs="Cambria" w:eastAsia="Cambria"/>
          <w:b/>
          <w:sz w:val="22"/>
        </w:rPr>
        <w:t>-66%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Estructura: naranjas 33,5% en valor y 42,4% en volumen, mandarinas 33,8% y 38,5% (clementinas ~70%), limones 25,5% y 21,1%, pomelos 2,3% en valor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Limón: Alemania 38,2%, Francia 19,5%, Reino Unido 7,8%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Protocolos fitosanitarios</w:t>
      </w:r>
      <w:r>
        <w:rPr>
          <w:rFonts w:ascii="Cambria" w:hAnsi="Cambria" w:cs="Cambria" w:eastAsia="Cambria"/>
          <w:sz w:val="22"/>
        </w:rPr>
        <w:t xml:space="preserve"> bilaterales por la mosca mediterránea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EEUU (USDA): tratamiento de frío durante el transporte. Similares en China, Japón y Corea del Sur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Importaciones</w:t>
      </w:r>
      <w:r>
        <w:rPr>
          <w:rFonts w:ascii="Cambria" w:hAnsi="Cambria" w:cs="Cambria" w:eastAsia="Cambria"/>
          <w:sz w:val="22"/>
        </w:rPr>
        <w:t>: Sudáfrica, Marruecos, Argentina, Egipto, Perú, Brasil, Portugal, Países Bajos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Sustitución por caqui, granada y aguacate (DOP Kaki Ribera del Xúquer, DOP Granada Mollar de Elche)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Cítricos: partida exportadora estratégica y clave de la balanza agroalimentaria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 xml:space="preserve">: Acuerdo Interino de Comercio firmado en enero de 2026, aplicación provisional desde el </w:t>
      </w:r>
      <w:r>
        <w:rPr>
          <w:rFonts w:ascii="Cambria" w:hAnsi="Cambria" w:cs="Cambria" w:eastAsia="Cambria"/>
          <w:b/>
          <w:sz w:val="22"/>
        </w:rPr>
        <w:t>1 de mayo de 2026</w:t>
      </w:r>
      <w:r>
        <w:rPr>
          <w:rFonts w:ascii="Cambria" w:hAnsi="Cambria" w:cs="Cambria" w:eastAsia="Cambria"/>
          <w:sz w:val="22"/>
        </w:rPr>
        <w:t xml:space="preserve"> (pilar comercial)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 de Asociación pendiente de ratificación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Liberalización progresiva con contingentes y </w:t>
      </w:r>
      <w:r>
        <w:rPr>
          <w:rFonts w:ascii="Cambria" w:hAnsi="Cambria" w:cs="Cambria" w:eastAsia="Cambria"/>
          <w:b/>
          <w:sz w:val="22"/>
        </w:rPr>
        <w:t>salvaguardia bilateral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Competencia: menores costes de Mercosur, Brasil (zumo de naranja), Argentina (limón), Sudáfrica, Egipto, Turquía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 fitosanitario: mancha negra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Estrategia: diferenciación, innovación varietal, calidad, sostenibilidad, estándares equivalentes en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mismas reglas de calidad comercial para importación y exportación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 – Sector de cítricos.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 – Sector de cítricos.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