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1. INTRODUCCIÓN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Estructura productiva</w:t>
      </w:r>
      <w:r>
        <w:rPr>
          <w:rFonts w:ascii="Cambria" w:hAnsi="Cambria" w:cs="Cambria" w:eastAsia="Cambria"/>
          <w:sz w:val="22"/>
        </w:rPr>
        <w:t xml:space="preserve"> de los años 60: sectores tradicionales intensivos en mano de obra, dependencia energética y tecnológica, muchas pymes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Entrada en la CEE (1986)</w:t>
      </w:r>
      <w:r>
        <w:rPr>
          <w:rFonts w:ascii="Cambria" w:hAnsi="Cambria" w:cs="Cambria" w:eastAsia="Cambria"/>
          <w:sz w:val="22"/>
        </w:rPr>
        <w:t>: reconversión industrial, Mercado Único, liberalización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Sector secundario: </w:t>
      </w:r>
      <w:r>
        <w:rPr>
          <w:rFonts w:ascii="Cambria" w:hAnsi="Cambria" w:cs="Cambria" w:eastAsia="Cambria"/>
          <w:b/>
          <w:sz w:val="22"/>
        </w:rPr>
        <w:t>14,2 % del PIB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15,6 % del VAB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11,4 % del empleo</w:t>
      </w:r>
      <w:r>
        <w:rPr>
          <w:rFonts w:ascii="Cambria" w:hAnsi="Cambria" w:cs="Cambria" w:eastAsia="Cambria"/>
          <w:sz w:val="22"/>
        </w:rPr>
        <w:t xml:space="preserve"> (SGEAPA del MINTUR, 2025)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Manufacturas de consumo</w:t>
      </w:r>
      <w:r>
        <w:rPr>
          <w:rFonts w:ascii="Cambria" w:hAnsi="Cambria" w:cs="Cambria" w:eastAsia="Cambria"/>
          <w:sz w:val="22"/>
        </w:rPr>
        <w:t>: textil y confección, calzado, EPIs, juguete y pequeño material eléctrico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Comercio exterior 2025 (DATACOMEX): exportaciones </w:t>
      </w:r>
      <w:r>
        <w:rPr>
          <w:rFonts w:ascii="Cambria" w:hAnsi="Cambria" w:cs="Cambria" w:eastAsia="Cambria"/>
          <w:b/>
          <w:sz w:val="22"/>
        </w:rPr>
        <w:t>9,1 %</w:t>
      </w:r>
      <w:r>
        <w:rPr>
          <w:rFonts w:ascii="Cambria" w:hAnsi="Cambria" w:cs="Cambria" w:eastAsia="Cambria"/>
          <w:sz w:val="22"/>
        </w:rPr>
        <w:t xml:space="preserve"> del total, importaciones </w:t>
      </w:r>
      <w:r>
        <w:rPr>
          <w:rFonts w:ascii="Cambria" w:hAnsi="Cambria" w:cs="Cambria" w:eastAsia="Cambria"/>
          <w:b/>
          <w:sz w:val="22"/>
        </w:rPr>
        <w:t>11,4 %</w:t>
      </w:r>
      <w:r>
        <w:rPr>
          <w:rFonts w:ascii="Cambria" w:hAnsi="Cambria" w:cs="Cambria" w:eastAsia="Cambria"/>
          <w:sz w:val="22"/>
        </w:rPr>
        <w:t>, déficit estructural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1.1. Legislación general del sector industrial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Competencia normativa: </w:t>
      </w:r>
      <w:r>
        <w:rPr>
          <w:rFonts w:ascii="Cambria" w:hAnsi="Cambria" w:cs="Cambria" w:eastAsia="Cambria"/>
          <w:b/>
          <w:sz w:val="22"/>
        </w:rPr>
        <w:t>SG de Calidad y Seguridad Industrial</w:t>
      </w:r>
      <w:r>
        <w:rPr>
          <w:rFonts w:ascii="Cambria" w:hAnsi="Cambria" w:cs="Cambria" w:eastAsia="Cambria"/>
          <w:sz w:val="22"/>
        </w:rPr>
        <w:t xml:space="preserve"> del MINTUR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Base industrial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Ley 21/1992</w:t>
      </w:r>
      <w:r>
        <w:rPr>
          <w:rFonts w:ascii="Cambria" w:hAnsi="Cambria" w:cs="Cambria" w:eastAsia="Cambria"/>
          <w:sz w:val="22"/>
        </w:rPr>
        <w:t>, de Industria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RD 559/2010</w:t>
      </w:r>
      <w:r>
        <w:rPr>
          <w:rFonts w:ascii="Cambria" w:hAnsi="Cambria" w:cs="Cambria" w:eastAsia="Cambria"/>
          <w:sz w:val="22"/>
        </w:rPr>
        <w:t>, Registro Integrado Industrial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RD 1072/2015</w:t>
      </w:r>
      <w:r>
        <w:rPr>
          <w:rFonts w:ascii="Cambria" w:hAnsi="Cambria" w:cs="Cambria" w:eastAsia="Cambria"/>
          <w:sz w:val="22"/>
        </w:rPr>
        <w:t xml:space="preserve">, Infraestructura para la Calidad y la Seguridad Industrial: </w:t>
      </w:r>
      <w:r>
        <w:rPr>
          <w:rFonts w:ascii="Cambria" w:hAnsi="Cambria" w:cs="Cambria" w:eastAsia="Cambria"/>
          <w:b/>
          <w:sz w:val="22"/>
        </w:rPr>
        <w:t>AENOR</w:t>
      </w:r>
      <w:r>
        <w:rPr>
          <w:rFonts w:ascii="Cambria" w:hAnsi="Cambria" w:cs="Cambria" w:eastAsia="Cambria"/>
          <w:sz w:val="22"/>
        </w:rPr>
        <w:t xml:space="preserve"> normalización, </w:t>
      </w:r>
      <w:r>
        <w:rPr>
          <w:rFonts w:ascii="Cambria" w:hAnsi="Cambria" w:cs="Cambria" w:eastAsia="Cambria"/>
          <w:b/>
          <w:sz w:val="22"/>
        </w:rPr>
        <w:t>ENAC</w:t>
      </w:r>
      <w:r>
        <w:rPr>
          <w:rFonts w:ascii="Cambria" w:hAnsi="Cambria" w:cs="Cambria" w:eastAsia="Cambria"/>
          <w:sz w:val="22"/>
        </w:rPr>
        <w:t xml:space="preserve"> acreditación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Etiquetado y sustancias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RD 1468/1988</w:t>
      </w:r>
      <w:r>
        <w:rPr>
          <w:rFonts w:ascii="Cambria" w:hAnsi="Cambria" w:cs="Cambria" w:eastAsia="Cambria"/>
          <w:sz w:val="22"/>
        </w:rPr>
        <w:t>, etiquetado de productos industriales sin norma específica: real, veraz, fácil de entender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Datos mínimos: denominación, composición, plazo de uso, contenido neto, lote, empresa, origen, alérgenos, potencia, tensión y consumo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Exportación a terceros países no conforme: identificada por si va al mercado interior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RD 1406/1989</w:t>
      </w:r>
      <w:r>
        <w:rPr>
          <w:rFonts w:ascii="Cambria" w:hAnsi="Cambria" w:cs="Cambria" w:eastAsia="Cambria"/>
          <w:sz w:val="22"/>
        </w:rPr>
        <w:t>, limitaciones de sustancias (benceno, amianto, dimetilfumarato, pentaclorofenol, termómetros de mercurio desde 2009)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Control en frontera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RD 330/2008</w:t>
      </w:r>
      <w:r>
        <w:rPr>
          <w:rFonts w:ascii="Cambria" w:hAnsi="Cambria" w:cs="Cambria" w:eastAsia="Cambria"/>
          <w:sz w:val="22"/>
        </w:rPr>
        <w:t xml:space="preserve">: control de conformidad previo al despacho por el </w:t>
      </w:r>
      <w:r>
        <w:rPr>
          <w:rFonts w:ascii="Cambria" w:hAnsi="Cambria" w:cs="Cambria" w:eastAsia="Cambria"/>
          <w:b/>
          <w:sz w:val="22"/>
        </w:rPr>
        <w:t>SOIVRE</w:t>
      </w:r>
      <w:r>
        <w:rPr>
          <w:rFonts w:ascii="Cambria" w:hAnsi="Cambria" w:cs="Cambria" w:eastAsia="Cambria"/>
          <w:sz w:val="22"/>
        </w:rPr>
        <w:t>, a partir de riesgos detectados por RAPEX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Orden PJC/161/2026</w:t>
      </w:r>
      <w:r>
        <w:rPr>
          <w:rFonts w:ascii="Cambria" w:hAnsi="Cambria" w:cs="Cambria" w:eastAsia="Cambria"/>
          <w:sz w:val="22"/>
        </w:rPr>
        <w:t>: lista de productos controlados (drones, puericultura, textil, calzado, juguetes, EPIs, pequeño material eléctrico, muebles y derivados de madera)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RD 993/2022</w:t>
      </w:r>
      <w:r>
        <w:rPr>
          <w:rFonts w:ascii="Cambria" w:hAnsi="Cambria" w:cs="Cambria" w:eastAsia="Cambria"/>
          <w:sz w:val="22"/>
        </w:rPr>
        <w:t>: control de AEE, pilas y acumuladores de terceros países en RoHS y Registro Integrado Industrial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Marco europeo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Reglamento (CE) 765/2008</w:t>
      </w:r>
      <w:r>
        <w:rPr>
          <w:rFonts w:ascii="Cambria" w:hAnsi="Cambria" w:cs="Cambria" w:eastAsia="Cambria"/>
          <w:sz w:val="22"/>
        </w:rPr>
        <w:t xml:space="preserve">: acreditación y marcado CE (Nuevo Enfoque: EPIs, juguetes, pequeño material eléctrico). Vigilancia de mercado sustituida por el </w:t>
      </w:r>
      <w:r>
        <w:rPr>
          <w:rFonts w:ascii="Cambria" w:hAnsi="Cambria" w:cs="Cambria" w:eastAsia="Cambria"/>
          <w:b/>
          <w:sz w:val="22"/>
        </w:rPr>
        <w:t>Reglamento (UE) 2019/1020</w:t>
      </w:r>
      <w:r>
        <w:rPr>
          <w:rFonts w:ascii="Cambria" w:hAnsi="Cambria" w:cs="Cambria" w:eastAsia="Cambria"/>
          <w:sz w:val="22"/>
        </w:rPr>
        <w:t>, que refuerza a las AVM y los controles a terceros países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Reglamento (UE) 2019/515</w:t>
      </w:r>
      <w:r>
        <w:rPr>
          <w:rFonts w:ascii="Cambria" w:hAnsi="Cambria" w:cs="Cambria" w:eastAsia="Cambria"/>
          <w:sz w:val="22"/>
        </w:rPr>
        <w:t>: reconocimiento mutuo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Decisión 768/2008/CE</w:t>
      </w:r>
      <w:r>
        <w:rPr>
          <w:rFonts w:ascii="Cambria" w:hAnsi="Cambria" w:cs="Cambria" w:eastAsia="Cambria"/>
          <w:sz w:val="22"/>
        </w:rPr>
        <w:t>: base del Nuevo Marco Legislativo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Reglamento (UE) 2023/988 (RGSP)</w:t>
      </w:r>
      <w:r>
        <w:rPr>
          <w:rFonts w:ascii="Cambria" w:hAnsi="Cambria" w:cs="Cambria" w:eastAsia="Cambria"/>
          <w:sz w:val="22"/>
        </w:rPr>
        <w:t xml:space="preserve">: deroga la Directiva 2001/95/CE, aplicable desde el </w:t>
      </w:r>
      <w:r>
        <w:rPr>
          <w:rFonts w:ascii="Cambria" w:hAnsi="Cambria" w:cs="Cambria" w:eastAsia="Cambria"/>
          <w:b/>
          <w:sz w:val="22"/>
        </w:rPr>
        <w:t>13/12/2024</w:t>
      </w:r>
      <w:r>
        <w:rPr>
          <w:rFonts w:ascii="Cambria" w:hAnsi="Cambria" w:cs="Cambria" w:eastAsia="Cambria"/>
          <w:sz w:val="22"/>
        </w:rPr>
        <w:t xml:space="preserve">, refuerza </w:t>
      </w:r>
      <w:r>
        <w:rPr>
          <w:rFonts w:ascii="Cambria" w:hAnsi="Cambria" w:cs="Cambria" w:eastAsia="Cambria"/>
          <w:b/>
          <w:sz w:val="22"/>
        </w:rPr>
        <w:t>Safety Gate</w:t>
      </w:r>
      <w:r>
        <w:rPr>
          <w:rFonts w:ascii="Cambria" w:hAnsi="Cambria" w:cs="Cambria" w:eastAsia="Cambria"/>
          <w:sz w:val="22"/>
        </w:rPr>
        <w:t xml:space="preserve"> (sustituye a RAPEX) y mercados en línea. El </w:t>
      </w:r>
      <w:r>
        <w:rPr>
          <w:rFonts w:ascii="Cambria" w:hAnsi="Cambria" w:cs="Cambria" w:eastAsia="Cambria"/>
          <w:b/>
          <w:sz w:val="22"/>
        </w:rPr>
        <w:t>RD 1801/2003</w:t>
      </w:r>
      <w:r>
        <w:rPr>
          <w:rFonts w:ascii="Cambria" w:hAnsi="Cambria" w:cs="Cambria" w:eastAsia="Cambria"/>
          <w:sz w:val="22"/>
        </w:rPr>
        <w:t xml:space="preserve"> queda sin efecto autónomo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REACH (CE) 1907/2006</w:t>
      </w:r>
      <w:r>
        <w:rPr>
          <w:rFonts w:ascii="Cambria" w:hAnsi="Cambria" w:cs="Cambria" w:eastAsia="Cambria"/>
          <w:sz w:val="22"/>
        </w:rPr>
        <w:t xml:space="preserve">: restricciones del Anexo XVII, crea la </w:t>
      </w:r>
      <w:r>
        <w:rPr>
          <w:rFonts w:ascii="Cambria" w:hAnsi="Cambria" w:cs="Cambria" w:eastAsia="Cambria"/>
          <w:b/>
          <w:sz w:val="22"/>
        </w:rPr>
        <w:t>ECHA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Reglamento (UE) 2023/2411</w:t>
      </w:r>
      <w:r>
        <w:rPr>
          <w:rFonts w:ascii="Cambria" w:hAnsi="Cambria" w:cs="Cambria" w:eastAsia="Cambria"/>
          <w:sz w:val="22"/>
        </w:rPr>
        <w:t>: indicaciones geográficas de productos artesanales e industriales, aplicable desde 2025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2. SUBSECTOR DEL JUGUETE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2.1. Definición y ámbito de aplicación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Marco en transición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Directiva 2009/48/CE</w:t>
      </w:r>
      <w:r>
        <w:rPr>
          <w:rFonts w:ascii="Cambria" w:hAnsi="Cambria" w:cs="Cambria" w:eastAsia="Cambria"/>
          <w:sz w:val="22"/>
        </w:rPr>
        <w:t xml:space="preserve"> (</w:t>
      </w:r>
      <w:r>
        <w:rPr>
          <w:rFonts w:ascii="Cambria" w:hAnsi="Cambria" w:cs="Cambria" w:eastAsia="Cambria"/>
          <w:b/>
          <w:sz w:val="22"/>
        </w:rPr>
        <w:t>RD 1205/2011</w:t>
      </w:r>
      <w:r>
        <w:rPr>
          <w:rFonts w:ascii="Cambria" w:hAnsi="Cambria" w:cs="Cambria" w:eastAsia="Cambria"/>
          <w:sz w:val="22"/>
        </w:rPr>
        <w:t>), vigente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Reglamento (UE) 2025/2509</w:t>
      </w:r>
      <w:r>
        <w:rPr>
          <w:rFonts w:ascii="Cambria" w:hAnsi="Cambria" w:cs="Cambria" w:eastAsia="Cambria"/>
          <w:sz w:val="22"/>
        </w:rPr>
        <w:t xml:space="preserve">: la sustituirá, aplicable desde el </w:t>
      </w:r>
      <w:r>
        <w:rPr>
          <w:rFonts w:ascii="Cambria" w:hAnsi="Cambria" w:cs="Cambria" w:eastAsia="Cambria"/>
          <w:b/>
          <w:sz w:val="22"/>
        </w:rPr>
        <w:t>1 de agosto de 2030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Juguete: producto diseñado o previsto, exclusivamente o no, para jugar por </w:t>
      </w:r>
      <w:r>
        <w:rPr>
          <w:rFonts w:ascii="Cambria" w:hAnsi="Cambria" w:cs="Cambria" w:eastAsia="Cambria"/>
          <w:b/>
          <w:sz w:val="22"/>
        </w:rPr>
        <w:t>menores de 14 años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Tres elementos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Exclusivamente o no</w:t>
      </w:r>
      <w:r>
        <w:rPr>
          <w:rFonts w:ascii="Cambria" w:hAnsi="Cambria" w:cs="Cambria" w:eastAsia="Cambria"/>
          <w:sz w:val="22"/>
        </w:rPr>
        <w:t>: doble función también cumple las exigencias de juguetes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Fin de juego</w:t>
      </w:r>
      <w:r>
        <w:rPr>
          <w:rFonts w:ascii="Cambria" w:hAnsi="Cambria" w:cs="Cambria" w:eastAsia="Cambria"/>
          <w:sz w:val="22"/>
        </w:rPr>
        <w:t>: prevalece el uso esperado o previsible sobre la declaración del fabricante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Menores de 14 años</w:t>
      </w:r>
      <w:r>
        <w:rPr>
          <w:rFonts w:ascii="Cambria" w:hAnsi="Cambria" w:cs="Cambria" w:eastAsia="Cambria"/>
          <w:sz w:val="22"/>
        </w:rPr>
        <w:t>: edad límite de protección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Excluidos: decoración navideña, modelos a escala para adultos, equipamiento deportivo, rompecabezas grandes, fuegos artificiales, videojuegos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2.2. Indicadores para clasificar un producto como juguete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Para zonas grises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Valor de juego</w:t>
      </w:r>
      <w:r>
        <w:rPr>
          <w:rFonts w:ascii="Cambria" w:hAnsi="Cambria" w:cs="Cambria" w:eastAsia="Cambria"/>
          <w:sz w:val="22"/>
        </w:rPr>
        <w:t>: el más importante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Tamaño o talla (talla adulto no es juguete, complementario)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Punto de venta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Nivel de detalle de fabricación (alto, dirigido a adultos)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Publicidad y menciones en el envase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Operador que lo introduce (fabricante de juguetes)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Valor del producto (suelen ser más baratos)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2.3. Análisis sectorial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Pymes, </w:t>
      </w:r>
      <w:r>
        <w:rPr>
          <w:rFonts w:ascii="Cambria" w:hAnsi="Cambria" w:cs="Cambria" w:eastAsia="Cambria"/>
          <w:b/>
          <w:sz w:val="22"/>
        </w:rPr>
        <w:t>4.800</w:t>
      </w:r>
      <w:r>
        <w:rPr>
          <w:rFonts w:ascii="Cambria" w:hAnsi="Cambria" w:cs="Cambria" w:eastAsia="Cambria"/>
          <w:sz w:val="22"/>
        </w:rPr>
        <w:t xml:space="preserve"> trabajadores directos y más de </w:t>
      </w:r>
      <w:r>
        <w:rPr>
          <w:rFonts w:ascii="Cambria" w:hAnsi="Cambria" w:cs="Cambria" w:eastAsia="Cambria"/>
          <w:b/>
          <w:sz w:val="22"/>
        </w:rPr>
        <w:t>20.000</w:t>
      </w:r>
      <w:r>
        <w:rPr>
          <w:rFonts w:ascii="Cambria" w:hAnsi="Cambria" w:cs="Cambria" w:eastAsia="Cambria"/>
          <w:sz w:val="22"/>
        </w:rPr>
        <w:t xml:space="preserve"> indirectos (AEFJ)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Concentración y deslocalización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Producción en Comunidad Valenciana y Cataluña (</w:t>
      </w:r>
      <w:r>
        <w:rPr>
          <w:rFonts w:ascii="Cambria" w:hAnsi="Cambria" w:cs="Cambria" w:eastAsia="Cambria"/>
          <w:b/>
          <w:sz w:val="22"/>
        </w:rPr>
        <w:t>75 %</w:t>
      </w:r>
      <w:r>
        <w:rPr>
          <w:rFonts w:ascii="Cambria" w:hAnsi="Cambria" w:cs="Cambria" w:eastAsia="Cambria"/>
          <w:sz w:val="22"/>
        </w:rPr>
        <w:t>), Alicante y Grupo Famosa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Déficit estructural de más de </w:t>
      </w:r>
      <w:r>
        <w:rPr>
          <w:rFonts w:ascii="Cambria" w:hAnsi="Cambria" w:cs="Cambria" w:eastAsia="Cambria"/>
          <w:b/>
          <w:sz w:val="22"/>
        </w:rPr>
        <w:t>1.500 M€</w:t>
      </w:r>
      <w:r>
        <w:rPr>
          <w:rFonts w:ascii="Cambria" w:hAnsi="Cambria" w:cs="Cambria" w:eastAsia="Cambria"/>
          <w:sz w:val="22"/>
        </w:rPr>
        <w:t xml:space="preserve"> en 2025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Exportaciones: UE (Francia, Italia, Portugal), México y EEUU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Importaciones: </w:t>
      </w:r>
      <w:r>
        <w:rPr>
          <w:rFonts w:ascii="Cambria" w:hAnsi="Cambria" w:cs="Cambria" w:eastAsia="Cambria"/>
          <w:b/>
          <w:sz w:val="22"/>
        </w:rPr>
        <w:t>China</w:t>
      </w:r>
      <w:r>
        <w:rPr>
          <w:rFonts w:ascii="Cambria" w:hAnsi="Cambria" w:cs="Cambria" w:eastAsia="Cambria"/>
          <w:sz w:val="22"/>
        </w:rPr>
        <w:t>, Países Bajos, Alemania y Francia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Estacionalidad: </w:t>
      </w:r>
      <w:r>
        <w:rPr>
          <w:rFonts w:ascii="Cambria" w:hAnsi="Cambria" w:cs="Cambria" w:eastAsia="Cambria"/>
          <w:b/>
          <w:sz w:val="22"/>
        </w:rPr>
        <w:t>70-80 %</w:t>
      </w:r>
      <w:r>
        <w:rPr>
          <w:rFonts w:ascii="Cambria" w:hAnsi="Cambria" w:cs="Cambria" w:eastAsia="Cambria"/>
          <w:sz w:val="22"/>
        </w:rPr>
        <w:t xml:space="preserve"> del consumo en noviembre y diciembre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Respuesta a Asia: alto valor añadido, diseño y valor pedagógico. Un </w:t>
      </w:r>
      <w:r>
        <w:rPr>
          <w:rFonts w:ascii="Cambria" w:hAnsi="Cambria" w:cs="Cambria" w:eastAsia="Cambria"/>
          <w:b/>
          <w:sz w:val="22"/>
        </w:rPr>
        <w:t>60 %</w:t>
      </w:r>
      <w:r>
        <w:rPr>
          <w:rFonts w:ascii="Cambria" w:hAnsi="Cambria" w:cs="Cambria" w:eastAsia="Cambria"/>
          <w:sz w:val="22"/>
        </w:rPr>
        <w:t xml:space="preserve"> de juguetes nuevos cada año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Tendencias: venta en línea, STEM, educación emocional, sostenibilidad, mercado silver, juguetes conectados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ICEX</w:t>
      </w:r>
      <w:r>
        <w:rPr>
          <w:rFonts w:ascii="Cambria" w:hAnsi="Cambria" w:cs="Cambria" w:eastAsia="Cambria"/>
          <w:sz w:val="22"/>
        </w:rPr>
        <w:t xml:space="preserve">: iniciativa </w:t>
      </w:r>
      <w:r>
        <w:rPr>
          <w:rFonts w:ascii="Cambria" w:hAnsi="Cambria" w:cs="Cambria" w:eastAsia="Cambria"/>
          <w:b/>
          <w:sz w:val="22"/>
        </w:rPr>
        <w:t>Toys from Spain</w:t>
      </w:r>
      <w:r>
        <w:rPr>
          <w:rFonts w:ascii="Cambria" w:hAnsi="Cambria" w:cs="Cambria" w:eastAsia="Cambria"/>
          <w:sz w:val="22"/>
        </w:rPr>
        <w:t xml:space="preserve"> en mercados PASE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2.4. Normativa aplicable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Directiva 2009/48/CE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RD 1205/2011</w:t>
      </w:r>
      <w:r>
        <w:rPr>
          <w:rFonts w:ascii="Cambria" w:hAnsi="Cambria" w:cs="Cambria" w:eastAsia="Cambria"/>
          <w:sz w:val="22"/>
        </w:rPr>
        <w:t>: requisitos esenciales y marcado CE, rigen las inspecciones. CMR limitadas al níquel y límites para menores de 36 meses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2025/2509</w:t>
      </w:r>
      <w:r>
        <w:rPr>
          <w:rFonts w:ascii="Cambria" w:hAnsi="Cambria" w:cs="Cambria" w:eastAsia="Cambria"/>
          <w:sz w:val="22"/>
        </w:rPr>
        <w:t>: obligatorio el 1/8/2030, deroga la Directiva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Pasaporte Digital de Producto, prohibiciones químicas (alteradores endocrinos), ciberseguridad y privacidad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REACH</w:t>
      </w:r>
      <w:r>
        <w:rPr>
          <w:rFonts w:ascii="Cambria" w:hAnsi="Cambria" w:cs="Cambria" w:eastAsia="Cambria"/>
          <w:sz w:val="22"/>
        </w:rPr>
        <w:t xml:space="preserve">: máximo </w:t>
      </w:r>
      <w:r>
        <w:rPr>
          <w:rFonts w:ascii="Cambria" w:hAnsi="Cambria" w:cs="Cambria" w:eastAsia="Cambria"/>
          <w:b/>
          <w:sz w:val="22"/>
        </w:rPr>
        <w:t>0,1 %</w:t>
      </w:r>
      <w:r>
        <w:rPr>
          <w:rFonts w:ascii="Cambria" w:hAnsi="Cambria" w:cs="Cambria" w:eastAsia="Cambria"/>
          <w:sz w:val="22"/>
        </w:rPr>
        <w:t xml:space="preserve"> de ftalatos en material plastificado susceptible de meterse en la boca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RGSP</w:t>
      </w:r>
      <w:r>
        <w:rPr>
          <w:rFonts w:ascii="Cambria" w:hAnsi="Cambria" w:cs="Cambria" w:eastAsia="Cambria"/>
          <w:sz w:val="22"/>
        </w:rPr>
        <w:t>: refuerza controles en línea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RDL 1/2007 (TRLGDCU)</w:t>
      </w:r>
      <w:r>
        <w:rPr>
          <w:rFonts w:ascii="Cambria" w:hAnsi="Cambria" w:cs="Cambria" w:eastAsia="Cambria"/>
          <w:sz w:val="22"/>
        </w:rPr>
        <w:t>: fabricantes e importadores responsables de la seguridad en toda la cadena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2.5. Normas armonizadas (inspección SOIVRE)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UNE-EN 71-1:2015+A1:2019</w:t>
      </w:r>
      <w:r>
        <w:rPr>
          <w:rFonts w:ascii="Cambria" w:hAnsi="Cambria" w:cs="Cambria" w:eastAsia="Cambria"/>
          <w:sz w:val="22"/>
        </w:rPr>
        <w:t xml:space="preserve">: propiedades mecánicas y físicas, norma fundamental (piezas, cordones, proyectiles con ventosa de </w:t>
      </w:r>
      <w:r>
        <w:rPr>
          <w:rFonts w:ascii="Cambria" w:hAnsi="Cambria" w:cs="Cambria" w:eastAsia="Cambria"/>
          <w:b/>
          <w:sz w:val="22"/>
        </w:rPr>
        <w:t>57 mm</w:t>
      </w:r>
      <w:r>
        <w:rPr>
          <w:rFonts w:ascii="Cambria" w:hAnsi="Cambria" w:cs="Cambria" w:eastAsia="Cambria"/>
          <w:sz w:val="22"/>
        </w:rPr>
        <w:t>, imanes)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UNE-EN 71-2:2021</w:t>
      </w:r>
      <w:r>
        <w:rPr>
          <w:rFonts w:ascii="Cambria" w:hAnsi="Cambria" w:cs="Cambria" w:eastAsia="Cambria"/>
          <w:sz w:val="22"/>
        </w:rPr>
        <w:t>: inflamabilidad, no inspeccionada por el SOIVRE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UNE-EN 71-3:2020+A1:2021</w:t>
      </w:r>
      <w:r>
        <w:rPr>
          <w:rFonts w:ascii="Cambria" w:hAnsi="Cambria" w:cs="Cambria" w:eastAsia="Cambria"/>
          <w:sz w:val="22"/>
        </w:rPr>
        <w:t>: migración de metales pesados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UNE-EN 62115:2021/A11:2021</w:t>
      </w:r>
      <w:r>
        <w:rPr>
          <w:rFonts w:ascii="Cambria" w:hAnsi="Cambria" w:cs="Cambria" w:eastAsia="Cambria"/>
          <w:sz w:val="22"/>
        </w:rPr>
        <w:t>: juguetes eléctricos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UNE-EN 60825-1:2015/A11:2021</w:t>
      </w:r>
      <w:r>
        <w:rPr>
          <w:rFonts w:ascii="Cambria" w:hAnsi="Cambria" w:cs="Cambria" w:eastAsia="Cambria"/>
          <w:sz w:val="22"/>
        </w:rPr>
        <w:t>: láser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UNE-EN 15649-3:2018</w:t>
      </w:r>
      <w:r>
        <w:rPr>
          <w:rFonts w:ascii="Cambria" w:hAnsi="Cambria" w:cs="Cambria" w:eastAsia="Cambria"/>
          <w:sz w:val="22"/>
        </w:rPr>
        <w:t>: artículos de recreo flotantes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2.6. Casos particulares de etiquetado y marcado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Peluches</w:t>
      </w:r>
      <w:r>
        <w:rPr>
          <w:rFonts w:ascii="Cambria" w:hAnsi="Cambria" w:cs="Cambria" w:eastAsia="Cambria"/>
          <w:sz w:val="22"/>
        </w:rPr>
        <w:t>: menores de 3 años, sin indicación de edad con riesgo explícito (rehús inmediato)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Proyectiles con ventosa</w:t>
      </w:r>
      <w:r>
        <w:rPr>
          <w:rFonts w:ascii="Cambria" w:hAnsi="Cambria" w:cs="Cambria" w:eastAsia="Cambria"/>
          <w:sz w:val="22"/>
        </w:rPr>
        <w:t xml:space="preserve">: longitud superior a </w:t>
      </w:r>
      <w:r>
        <w:rPr>
          <w:rFonts w:ascii="Cambria" w:hAnsi="Cambria" w:cs="Cambria" w:eastAsia="Cambria"/>
          <w:b/>
          <w:sz w:val="22"/>
        </w:rPr>
        <w:t>57 mm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Imanes</w:t>
      </w:r>
      <w:r>
        <w:rPr>
          <w:rFonts w:ascii="Cambria" w:hAnsi="Cambria" w:cs="Cambria" w:eastAsia="Cambria"/>
          <w:sz w:val="22"/>
        </w:rPr>
        <w:t xml:space="preserve">: prohibidos en menores de 36 meses. En mayores, no pieza pequeña o flujo magnético inferior a </w:t>
      </w:r>
      <w:r>
        <w:rPr>
          <w:rFonts w:ascii="Cambria" w:hAnsi="Cambria" w:cs="Cambria" w:eastAsia="Cambria"/>
          <w:b/>
          <w:sz w:val="22"/>
        </w:rPr>
        <w:t>50 kg²/mm²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Monopatines</w:t>
      </w:r>
      <w:r>
        <w:rPr>
          <w:rFonts w:ascii="Cambria" w:hAnsi="Cambria" w:cs="Cambria" w:eastAsia="Cambria"/>
          <w:sz w:val="22"/>
        </w:rPr>
        <w:t xml:space="preserve">: juguete solo si niño de menos de </w:t>
      </w:r>
      <w:r>
        <w:rPr>
          <w:rFonts w:ascii="Cambria" w:hAnsi="Cambria" w:cs="Cambria" w:eastAsia="Cambria"/>
          <w:b/>
          <w:sz w:val="22"/>
        </w:rPr>
        <w:t>20 kg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2.7. Inspección en frontera (juguetes)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Etiquetado obligatorio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Nombre o razón social y dirección postal y electrónica de fabricante e importador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Referencia del modelo trazable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Advertencias de seguridad (menores de 36 meses)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Instrucciones en castellano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Marcado CE</w:t>
      </w:r>
      <w:r>
        <w:rPr>
          <w:rFonts w:ascii="Cambria" w:hAnsi="Cambria" w:cs="Cambria" w:eastAsia="Cambria"/>
          <w:sz w:val="22"/>
        </w:rPr>
        <w:t xml:space="preserve"> visible, legible e indeleble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2.8. Ensayos de laboratorio en juguetes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Ftalatos</w:t>
      </w:r>
      <w:r>
        <w:rPr>
          <w:rFonts w:ascii="Cambria" w:hAnsi="Cambria" w:cs="Cambria" w:eastAsia="Cambria"/>
          <w:sz w:val="22"/>
        </w:rPr>
        <w:t xml:space="preserve">: 0,1 % (REACH), laboratorio de </w:t>
      </w:r>
      <w:r>
        <w:rPr>
          <w:rFonts w:ascii="Cambria" w:hAnsi="Cambria" w:cs="Cambria" w:eastAsia="Cambria"/>
          <w:b/>
          <w:sz w:val="22"/>
        </w:rPr>
        <w:t>Murcia</w:t>
      </w:r>
      <w:r>
        <w:rPr>
          <w:rFonts w:ascii="Cambria" w:hAnsi="Cambria" w:cs="Cambria" w:eastAsia="Cambria"/>
          <w:sz w:val="22"/>
        </w:rPr>
        <w:t xml:space="preserve"> acreditado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Metales pesados</w:t>
      </w:r>
      <w:r>
        <w:rPr>
          <w:rFonts w:ascii="Cambria" w:hAnsi="Cambria" w:cs="Cambria" w:eastAsia="Cambria"/>
          <w:sz w:val="22"/>
        </w:rPr>
        <w:t>: UNE-EN 71-3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CMR</w:t>
      </w:r>
      <w:r>
        <w:rPr>
          <w:rFonts w:ascii="Cambria" w:hAnsi="Cambria" w:cs="Cambria" w:eastAsia="Cambria"/>
          <w:sz w:val="22"/>
        </w:rPr>
        <w:t>: Apéndice A del Anexo II de la Directiva 2009/48/CE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Propiedades mecánicas y físicas</w:t>
      </w:r>
      <w:r>
        <w:rPr>
          <w:rFonts w:ascii="Cambria" w:hAnsi="Cambria" w:cs="Cambria" w:eastAsia="Cambria"/>
          <w:sz w:val="22"/>
        </w:rPr>
        <w:t>: UNE-EN 71-1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3. SUBSECTOR DEL PEQUEÑO MATERIAL ELÉCTRICO (PME)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3.1. Descripción y productos controlados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RD 330/2008</w:t>
      </w:r>
      <w:r>
        <w:rPr>
          <w:rFonts w:ascii="Cambria" w:hAnsi="Cambria" w:cs="Cambria" w:eastAsia="Cambria"/>
          <w:sz w:val="22"/>
        </w:rPr>
        <w:t>: control centrado en productos sensibles para el consumidor doméstico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Clasificación arancelaria no nítida: identificar destino y uso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Riesgos: electrocución, incendio, sobrecalentamiento, fallo de aislamiento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Bajo valor unitario, alta rotación, comercio electrónico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Productos controlados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Interruptores, seccionadores y conmutadores de uso doméstico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Portalámparas Edison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Clavijas y tomas de corriente (consumidor final)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Adaptadores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Regletas de conexión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Cables prolongadores y enrollables (hasta </w:t>
      </w:r>
      <w:r>
        <w:rPr>
          <w:rFonts w:ascii="Cambria" w:hAnsi="Cambria" w:cs="Cambria" w:eastAsia="Cambria"/>
          <w:b/>
          <w:sz w:val="22"/>
        </w:rPr>
        <w:t>1.000 V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Guirnaldas de árboles de Navidad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3.2. Análisis sectorial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Europa líder mundial, seguida de EEUU y Japón. En la UE: Alemania, Francia e Italia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Producción nacional: Cataluña, País Vasco y Aragón. Asociación </w:t>
      </w:r>
      <w:r>
        <w:rPr>
          <w:rFonts w:ascii="Cambria" w:hAnsi="Cambria" w:cs="Cambria" w:eastAsia="Cambria"/>
          <w:b/>
          <w:sz w:val="22"/>
        </w:rPr>
        <w:t>AFME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Más volumen que facturación por la competencia asiática en precio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Exportaciones: UE (Francia, Alemania, Italia) y Latinoamérica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Importaciones de </w:t>
      </w:r>
      <w:r>
        <w:rPr>
          <w:rFonts w:ascii="Cambria" w:hAnsi="Cambria" w:cs="Cambria" w:eastAsia="Cambria"/>
          <w:b/>
          <w:sz w:val="22"/>
        </w:rPr>
        <w:t>China</w:t>
      </w:r>
      <w:r>
        <w:rPr>
          <w:rFonts w:ascii="Cambria" w:hAnsi="Cambria" w:cs="Cambria" w:eastAsia="Cambria"/>
          <w:sz w:val="22"/>
        </w:rPr>
        <w:t>: déficit estructural y dependencia de cadenas asiáticas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Demanda: transición energética (recarga de vehículos eléctricos, fotovoltaica, eólica, smart grids, domótica)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Comercio electrónico: pequeños envíos de terceros países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3.3. Normativa aplicable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RD 187/2016 (Baja Tensión)</w:t>
      </w:r>
      <w:r>
        <w:rPr>
          <w:rFonts w:ascii="Cambria" w:hAnsi="Cambria" w:cs="Cambria" w:eastAsia="Cambria"/>
          <w:sz w:val="22"/>
        </w:rPr>
        <w:t>: transpone la LVD 2014/35/UE, marcado CE de seguridad. Excluye bases, clavijas y adaptadores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Directiva 2011/65/UE (RoHS)</w:t>
      </w:r>
      <w:r>
        <w:rPr>
          <w:rFonts w:ascii="Cambria" w:hAnsi="Cambria" w:cs="Cambria" w:eastAsia="Cambria"/>
          <w:sz w:val="22"/>
        </w:rPr>
        <w:t xml:space="preserve"> (</w:t>
      </w:r>
      <w:r>
        <w:rPr>
          <w:rFonts w:ascii="Cambria" w:hAnsi="Cambria" w:cs="Cambria" w:eastAsia="Cambria"/>
          <w:b/>
          <w:sz w:val="22"/>
        </w:rPr>
        <w:t>RD 219/2013</w:t>
      </w:r>
      <w:r>
        <w:rPr>
          <w:rFonts w:ascii="Cambria" w:hAnsi="Cambria" w:cs="Cambria" w:eastAsia="Cambria"/>
          <w:sz w:val="22"/>
        </w:rPr>
        <w:t>): plomo 0,1 %, mercurio 0,1 %, cadmio 0,01 %. Marcado CE solo de sustancias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RD 993/2022</w:t>
      </w:r>
      <w:r>
        <w:rPr>
          <w:rFonts w:ascii="Cambria" w:hAnsi="Cambria" w:cs="Cambria" w:eastAsia="Cambria"/>
          <w:sz w:val="22"/>
        </w:rPr>
        <w:t>: control SOIVRE de RoHS y Registro Integrado Industrial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RD 27/2021</w:t>
      </w:r>
      <w:r>
        <w:rPr>
          <w:rFonts w:ascii="Cambria" w:hAnsi="Cambria" w:cs="Cambria" w:eastAsia="Cambria"/>
          <w:sz w:val="22"/>
        </w:rPr>
        <w:t>: SOIVRE como autoridad de control de AEE y pilas y acumuladores antes de la importación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RD 842/2002 (REBT)</w:t>
      </w:r>
      <w:r>
        <w:rPr>
          <w:rFonts w:ascii="Cambria" w:hAnsi="Cambria" w:cs="Cambria" w:eastAsia="Cambria"/>
          <w:sz w:val="22"/>
        </w:rPr>
        <w:t>: instalaciones de baja tensión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RD 110/2015 (RAEE)</w:t>
      </w:r>
      <w:r>
        <w:rPr>
          <w:rFonts w:ascii="Cambria" w:hAnsi="Cambria" w:cs="Cambria" w:eastAsia="Cambria"/>
          <w:sz w:val="22"/>
        </w:rPr>
        <w:t>: transpone la Directiva 2012/19/UE, recogida, tratamiento y reciclaje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RGSP</w:t>
      </w:r>
      <w:r>
        <w:rPr>
          <w:rFonts w:ascii="Cambria" w:hAnsi="Cambria" w:cs="Cambria" w:eastAsia="Cambria"/>
          <w:sz w:val="22"/>
        </w:rPr>
        <w:t>: obligaciones de mercados en línea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2024/1781 (ESPR)</w:t>
      </w:r>
      <w:r>
        <w:rPr>
          <w:rFonts w:ascii="Cambria" w:hAnsi="Cambria" w:cs="Cambria" w:eastAsia="Cambria"/>
          <w:sz w:val="22"/>
        </w:rPr>
        <w:t>: diseño ecológico, requisitos por actos delegados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3.4. Normas armonizadas (inspección SOIVRE)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UNE-EN 60598-1:2015/A1:2018</w:t>
      </w:r>
      <w:r>
        <w:rPr>
          <w:rFonts w:ascii="Cambria" w:hAnsi="Cambria" w:cs="Cambria" w:eastAsia="Cambria"/>
          <w:sz w:val="22"/>
        </w:rPr>
        <w:t>: luminarias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UNE-EN 60238:2006/A2:2011</w:t>
      </w:r>
      <w:r>
        <w:rPr>
          <w:rFonts w:ascii="Cambria" w:hAnsi="Cambria" w:cs="Cambria" w:eastAsia="Cambria"/>
          <w:sz w:val="22"/>
        </w:rPr>
        <w:t>: portalámparas Edison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UNE-EN 60998</w:t>
      </w:r>
      <w:r>
        <w:rPr>
          <w:rFonts w:ascii="Cambria" w:hAnsi="Cambria" w:cs="Cambria" w:eastAsia="Cambria"/>
          <w:sz w:val="22"/>
        </w:rPr>
        <w:t>: dispositivos de conexión y regletas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UNE-EN 61058</w:t>
      </w:r>
      <w:r>
        <w:rPr>
          <w:rFonts w:ascii="Cambria" w:hAnsi="Cambria" w:cs="Cambria" w:eastAsia="Cambria"/>
          <w:sz w:val="22"/>
        </w:rPr>
        <w:t>: interruptores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UNE 20315:2017</w:t>
      </w:r>
      <w:r>
        <w:rPr>
          <w:rFonts w:ascii="Cambria" w:hAnsi="Cambria" w:cs="Cambria" w:eastAsia="Cambria"/>
          <w:sz w:val="22"/>
        </w:rPr>
        <w:t xml:space="preserve"> (partes 1-1 y 1-2): bases, clavijas y adaptadores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Sin marcado CE de seguridad. Conformidad con la norma más RGSP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Su marcado CE deriva solo de RoHS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3.5. Inspección en frontera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Control preventivo, documental y físico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Se verifica: correspondencia con la documentación, fabricante o importador, trazabilidad del modelo, marcado y etiquetado, documentación técnica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Dos marcados CE</w:t>
      </w:r>
      <w:r>
        <w:rPr>
          <w:rFonts w:ascii="Cambria" w:hAnsi="Cambria" w:cs="Cambria" w:eastAsia="Cambria"/>
          <w:sz w:val="22"/>
        </w:rPr>
        <w:t xml:space="preserve"> distintos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Baja Tensión</w:t>
      </w:r>
      <w:r>
        <w:rPr>
          <w:rFonts w:ascii="Cambria" w:hAnsi="Cambria" w:cs="Cambria" w:eastAsia="Cambria"/>
          <w:sz w:val="22"/>
        </w:rPr>
        <w:t>: seguridad eléctrica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RoHS</w:t>
      </w:r>
      <w:r>
        <w:rPr>
          <w:rFonts w:ascii="Cambria" w:hAnsi="Cambria" w:cs="Cambria" w:eastAsia="Cambria"/>
          <w:sz w:val="22"/>
        </w:rPr>
        <w:t>: solo sustancias, todos los AEE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Productos sujetos a la Directiva de Baja Tensión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Prolongadores, enrollacables, interruptores, regletas, portalámparas y guirnaldas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CE ampara seguridad (RD 187/2016) y RoHS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Exigible: Declaración UE de Conformidad e informe de laboratorio acreditado con la norma armonizada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Productos excluidos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Bases, clavijas y adaptadores, sin CE de seguridad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Seguridad por UNE 20315:2017 y RGSP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Verificar que su CE no se presente como seguridad eléctrica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Control RAEE en la importación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RD 110/2015, responsabilidad ampliada del productor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Inscripción en el </w:t>
      </w:r>
      <w:r>
        <w:rPr>
          <w:rFonts w:ascii="Cambria" w:hAnsi="Cambria" w:cs="Cambria" w:eastAsia="Cambria"/>
          <w:b/>
          <w:sz w:val="22"/>
        </w:rPr>
        <w:t>RII</w:t>
      </w:r>
      <w:r>
        <w:rPr>
          <w:rFonts w:ascii="Cambria" w:hAnsi="Cambria" w:cs="Cambria" w:eastAsia="Cambria"/>
          <w:sz w:val="22"/>
        </w:rPr>
        <w:t xml:space="preserve"> con número RAEE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Símbolo de contenedor tachado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Sin marcado CE: obligación medioambiental y registral, con declaraciones trimestrales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3.6. Ensayos de laboratorio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Verifican seguridad durante la vida útil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Dimensiones, líneas de fuga y distancias de aislamiento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Cables: doblado, longitud y sección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Puesta a tierra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Resistencia al calor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Resistencia mecánica: compresión, tracción, choque a baja temperatura y caída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4. CONCLUSIÓN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Juguetes y pequeño material eléctrico: seguridad del usuario, controles específicos en frontera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SOIVRE</w:t>
      </w:r>
      <w:r>
        <w:rPr>
          <w:rFonts w:ascii="Cambria" w:hAnsi="Cambria" w:cs="Cambria" w:eastAsia="Cambria"/>
          <w:sz w:val="22"/>
        </w:rPr>
        <w:t>: barrera de protección con revisión documental, inspección física y ensayos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Orden PJC/161/2026</w:t>
      </w:r>
      <w:r>
        <w:rPr>
          <w:rFonts w:ascii="Cambria" w:hAnsi="Cambria" w:cs="Cambria" w:eastAsia="Cambria"/>
          <w:sz w:val="22"/>
        </w:rPr>
        <w:t>: amplía el control (puericultura, ropa infantil, gafas de sol, drones recreativos, encendedores)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Modelo basado en prevención del riesgo y vigilancia eficaz, con papel reforzado por la expansión del comercio electrónico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mbria" w:hAnsi="Cambria" w:cs="Cambria" w:eastAsia="Cambria"/>
        <w:color w:val="595959"/>
        <w:sz w:val="18"/>
      </w:rPr>
      <w:fldChar w:fldCharType="begin"/>
    </w:r>
    <w:r>
      <w:rPr>
        <w:rFonts w:ascii="Cambria" w:hAnsi="Cambria" w:cs="Cambria" w:eastAsia="Cambria"/>
        <w:color w:val="595959"/>
        <w:sz w:val="18"/>
      </w:rPr>
      <w:instrText xml:space="preserve">PAGE</w:instrText>
    </w:r>
    <w:r>
      <w:rPr>
        <w:rFonts w:ascii="Cambria" w:hAnsi="Cambria" w:cs="Cambria" w:eastAsia="Cambria"/>
        <w:color w:val="595959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240"/>
      <w:jc w:val="both"/>
    </w:pPr>
    <w:r>
      <w:rPr>
        <w:rFonts w:ascii="Cambria" w:hAnsi="Cambria" w:cs="Cambria" w:eastAsia="Cambria"/>
        <w:b/>
        <w:i/>
        <w:color w:val="595959"/>
        <w:sz w:val="18"/>
      </w:rPr>
      <w:t>TEMA 20 – Sector de manufacturas de consumo (II): Juguetes. Pequeño material eléctrico.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2"/>
      <w:lang w:val="es-ES" w:eastAsia="es-E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Cambria" w:hAnsi="Cambria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40"/>
      <w:contextualSpacing/>
    </w:pPr>
    <w:rPr>
      <w:rFonts w:ascii="Cambria" w:hAnsi="Cambria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40"/>
      <w:contextualSpacing/>
    </w:pPr>
    <w:rPr>
      <w:rFonts w:ascii="Cambria" w:hAnsi="Cambria"/>
      <w:sz w:val="22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TEMA 20 – Sector de manufacturas de consumo (II): Juguetes. Pequeño material eléctrico.</dc:title>
  <dc:subject>Esquema del temario de oposiciones al SOIVRE</dc:subject>
  <dc:creator>Sergio Argudo Santiago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es-ES</dc:language>
</cp:coreProperties>
</file>