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Cambria" w:hAnsi="Cambria" w:cs="Cambria" w:eastAsia="Cambria"/>
          <w:b/>
          <w:color w:val="0F4761"/>
          <w:sz w:val="28"/>
        </w:rPr>
        <w:t>1. INTRODUCCIÓN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Reforma profunda de la </w:t>
      </w:r>
      <w:r>
        <w:rPr>
          <w:rFonts w:ascii="Cambria" w:hAnsi="Cambria" w:cs="Cambria" w:eastAsia="Cambria"/>
          <w:b/>
          <w:sz w:val="22"/>
        </w:rPr>
        <w:t>PAC</w:t>
      </w:r>
      <w:r>
        <w:rPr>
          <w:rFonts w:ascii="Cambria" w:hAnsi="Cambria" w:cs="Cambria" w:eastAsia="Cambria"/>
          <w:sz w:val="22"/>
        </w:rPr>
        <w:t>: transparencia, calidad, seguridad, medio ambiente y bienestar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Impulso de las crisis alimentarias (</w:t>
      </w:r>
      <w:r>
        <w:rPr>
          <w:rFonts w:ascii="Cambria" w:hAnsi="Cambria" w:cs="Cambria" w:eastAsia="Cambria"/>
          <w:b/>
          <w:sz w:val="22"/>
        </w:rPr>
        <w:t>EEB</w:t>
      </w:r>
      <w:r>
        <w:rPr>
          <w:rFonts w:ascii="Cambria" w:hAnsi="Cambria" w:cs="Cambria" w:eastAsia="Cambria"/>
          <w:sz w:val="22"/>
        </w:rPr>
        <w:t xml:space="preserve">, </w:t>
      </w:r>
      <w:r>
        <w:rPr>
          <w:rFonts w:ascii="Cambria" w:hAnsi="Cambria" w:cs="Cambria" w:eastAsia="Cambria"/>
          <w:b/>
          <w:sz w:val="22"/>
        </w:rPr>
        <w:t>fiebre aftosa</w:t>
      </w:r>
      <w:r>
        <w:rPr>
          <w:rFonts w:ascii="Cambria" w:hAnsi="Cambria" w:cs="Cambria" w:eastAsia="Cambria"/>
          <w:sz w:val="22"/>
        </w:rPr>
        <w:t xml:space="preserve">) y de la política </w:t>
      </w:r>
      <w:r>
        <w:rPr>
          <w:rFonts w:ascii="Cambria" w:hAnsi="Cambria" w:cs="Cambria" w:eastAsia="Cambria"/>
          <w:b/>
          <w:sz w:val="22"/>
        </w:rPr>
        <w:t>De la Granja a la Mesa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GTISA</w:t>
      </w:r>
      <w:r>
        <w:rPr>
          <w:rFonts w:ascii="Cambria" w:hAnsi="Cambria" w:cs="Cambria" w:eastAsia="Cambria"/>
          <w:sz w:val="22"/>
        </w:rPr>
        <w:t xml:space="preserve"> (Plan de Internacionalización del Sector Agroalimentario)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Preside la Secretaría General de Agricultura y Alimentación (MAPA)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7 grupos de trabajo, uno del </w:t>
      </w:r>
      <w:r>
        <w:rPr>
          <w:rFonts w:ascii="Cambria" w:hAnsi="Cambria" w:cs="Cambria" w:eastAsia="Cambria"/>
          <w:b/>
          <w:sz w:val="22"/>
        </w:rPr>
        <w:t>sector cárnico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Objetivos: barreras comerciales, mercados, coordinación, información, dimensión empresarial, promoción, adaptación de productos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Estructura: descripción (carne de abasto y otros productos cárnicos), calidad comercial y normativa</w:t>
      </w:r>
    </w:p>
    <w:p>
      <w:pPr>
        <w:pStyle w:val="Heading1"/>
      </w:pPr>
      <w:r>
        <w:rPr>
          <w:rFonts w:ascii="Cambria" w:hAnsi="Cambria" w:cs="Cambria" w:eastAsia="Cambria"/>
          <w:b/>
          <w:color w:val="0F4761"/>
          <w:sz w:val="28"/>
        </w:rPr>
        <w:t>2. DESCRIPCIÓN DE LOS PRINCIPALES PRODUCTOS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2.1. Ganado vacuno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Doble aprovechamiento (carne y leche)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Razas: </w:t>
      </w:r>
      <w:r>
        <w:rPr>
          <w:rFonts w:ascii="Cambria" w:hAnsi="Cambria" w:cs="Cambria" w:eastAsia="Cambria"/>
          <w:b/>
          <w:sz w:val="22"/>
        </w:rPr>
        <w:t>asturiana de los valles</w:t>
      </w:r>
      <w:r>
        <w:rPr>
          <w:rFonts w:ascii="Cambria" w:hAnsi="Cambria" w:cs="Cambria" w:eastAsia="Cambria"/>
          <w:sz w:val="22"/>
        </w:rPr>
        <w:t xml:space="preserve">, </w:t>
      </w:r>
      <w:r>
        <w:rPr>
          <w:rFonts w:ascii="Cambria" w:hAnsi="Cambria" w:cs="Cambria" w:eastAsia="Cambria"/>
          <w:b/>
          <w:sz w:val="22"/>
        </w:rPr>
        <w:t>rubia gallega</w:t>
      </w:r>
      <w:r>
        <w:rPr>
          <w:rFonts w:ascii="Cambria" w:hAnsi="Cambria" w:cs="Cambria" w:eastAsia="Cambria"/>
          <w:sz w:val="22"/>
        </w:rPr>
        <w:t xml:space="preserve">, </w:t>
      </w:r>
      <w:r>
        <w:rPr>
          <w:rFonts w:ascii="Cambria" w:hAnsi="Cambria" w:cs="Cambria" w:eastAsia="Cambria"/>
          <w:b/>
          <w:sz w:val="22"/>
        </w:rPr>
        <w:t>avileña negra ibérica</w:t>
      </w:r>
      <w:r>
        <w:rPr>
          <w:rFonts w:ascii="Cambria" w:hAnsi="Cambria" w:cs="Cambria" w:eastAsia="Cambria"/>
          <w:sz w:val="22"/>
        </w:rPr>
        <w:t xml:space="preserve">, </w:t>
      </w:r>
      <w:r>
        <w:rPr>
          <w:rFonts w:ascii="Cambria" w:hAnsi="Cambria" w:cs="Cambria" w:eastAsia="Cambria"/>
          <w:b/>
          <w:sz w:val="22"/>
        </w:rPr>
        <w:t>retinta extremeña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Tipos por edad: lechal (8 meses), añojo (1-2 años), novillo (2-3 años), vacuno mayor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Canal</w:t>
      </w:r>
      <w:r>
        <w:rPr>
          <w:rFonts w:ascii="Cambria" w:hAnsi="Cambria" w:cs="Cambria" w:eastAsia="Cambria"/>
          <w:sz w:val="22"/>
        </w:rPr>
        <w:t xml:space="preserve">: cuerpo sacrificado, eviscerado y desollado. </w:t>
      </w:r>
      <w:r>
        <w:rPr>
          <w:rFonts w:ascii="Cambria" w:hAnsi="Cambria" w:cs="Cambria" w:eastAsia="Cambria"/>
          <w:b/>
          <w:sz w:val="22"/>
        </w:rPr>
        <w:t>Media canal</w:t>
      </w:r>
      <w:r>
        <w:rPr>
          <w:rFonts w:ascii="Cambria" w:hAnsi="Cambria" w:cs="Cambria" w:eastAsia="Cambria"/>
          <w:sz w:val="22"/>
        </w:rPr>
        <w:t>: separada por el plano de simetría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SEUROP</w:t>
      </w:r>
      <w:r>
        <w:rPr>
          <w:rFonts w:ascii="Cambria" w:hAnsi="Cambria" w:cs="Cambria" w:eastAsia="Cambria"/>
          <w:sz w:val="22"/>
        </w:rPr>
        <w:t>: conformación (cadera, lomo, paletilla)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S</w:t>
      </w:r>
      <w:r>
        <w:rPr>
          <w:rFonts w:ascii="Cambria" w:hAnsi="Cambria" w:cs="Cambria" w:eastAsia="Cambria"/>
          <w:sz w:val="22"/>
        </w:rPr>
        <w:t xml:space="preserve"> superior, </w:t>
      </w:r>
      <w:r>
        <w:rPr>
          <w:rFonts w:ascii="Cambria" w:hAnsi="Cambria" w:cs="Cambria" w:eastAsia="Cambria"/>
          <w:b/>
          <w:sz w:val="22"/>
        </w:rPr>
        <w:t>E</w:t>
      </w:r>
      <w:r>
        <w:rPr>
          <w:rFonts w:ascii="Cambria" w:hAnsi="Cambria" w:cs="Cambria" w:eastAsia="Cambria"/>
          <w:sz w:val="22"/>
        </w:rPr>
        <w:t xml:space="preserve"> excelente, </w:t>
      </w:r>
      <w:r>
        <w:rPr>
          <w:rFonts w:ascii="Cambria" w:hAnsi="Cambria" w:cs="Cambria" w:eastAsia="Cambria"/>
          <w:b/>
          <w:sz w:val="22"/>
        </w:rPr>
        <w:t>U</w:t>
      </w:r>
      <w:r>
        <w:rPr>
          <w:rFonts w:ascii="Cambria" w:hAnsi="Cambria" w:cs="Cambria" w:eastAsia="Cambria"/>
          <w:sz w:val="22"/>
        </w:rPr>
        <w:t xml:space="preserve"> muy buena, </w:t>
      </w:r>
      <w:r>
        <w:rPr>
          <w:rFonts w:ascii="Cambria" w:hAnsi="Cambria" w:cs="Cambria" w:eastAsia="Cambria"/>
          <w:b/>
          <w:sz w:val="22"/>
        </w:rPr>
        <w:t>R</w:t>
      </w:r>
      <w:r>
        <w:rPr>
          <w:rFonts w:ascii="Cambria" w:hAnsi="Cambria" w:cs="Cambria" w:eastAsia="Cambria"/>
          <w:sz w:val="22"/>
        </w:rPr>
        <w:t xml:space="preserve"> buena, </w:t>
      </w:r>
      <w:r>
        <w:rPr>
          <w:rFonts w:ascii="Cambria" w:hAnsi="Cambria" w:cs="Cambria" w:eastAsia="Cambria"/>
          <w:b/>
          <w:sz w:val="22"/>
        </w:rPr>
        <w:t>O</w:t>
      </w:r>
      <w:r>
        <w:rPr>
          <w:rFonts w:ascii="Cambria" w:hAnsi="Cambria" w:cs="Cambria" w:eastAsia="Cambria"/>
          <w:sz w:val="22"/>
        </w:rPr>
        <w:t xml:space="preserve"> suficiente, </w:t>
      </w:r>
      <w:r>
        <w:rPr>
          <w:rFonts w:ascii="Cambria" w:hAnsi="Cambria" w:cs="Cambria" w:eastAsia="Cambria"/>
          <w:b/>
          <w:sz w:val="22"/>
        </w:rPr>
        <w:t>P</w:t>
      </w:r>
      <w:r>
        <w:rPr>
          <w:rFonts w:ascii="Cambria" w:hAnsi="Cambria" w:cs="Cambria" w:eastAsia="Cambria"/>
          <w:sz w:val="22"/>
        </w:rPr>
        <w:t xml:space="preserve"> insuficiente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Engrasamiento: débil, ligero, medio, alto, muy alto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Categorías UE de vacuno pesado (&gt;300 kg)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A</w:t>
      </w:r>
      <w:r>
        <w:rPr>
          <w:rFonts w:ascii="Cambria" w:hAnsi="Cambria" w:cs="Cambria" w:eastAsia="Cambria"/>
          <w:sz w:val="22"/>
        </w:rPr>
        <w:t xml:space="preserve"> machos sin castrar 12-24 meses, </w:t>
      </w:r>
      <w:r>
        <w:rPr>
          <w:rFonts w:ascii="Cambria" w:hAnsi="Cambria" w:cs="Cambria" w:eastAsia="Cambria"/>
          <w:b/>
          <w:sz w:val="22"/>
        </w:rPr>
        <w:t>B</w:t>
      </w:r>
      <w:r>
        <w:rPr>
          <w:rFonts w:ascii="Cambria" w:hAnsi="Cambria" w:cs="Cambria" w:eastAsia="Cambria"/>
          <w:sz w:val="22"/>
        </w:rPr>
        <w:t xml:space="preserve"> otros machos sin castrar, </w:t>
      </w:r>
      <w:r>
        <w:rPr>
          <w:rFonts w:ascii="Cambria" w:hAnsi="Cambria" w:cs="Cambria" w:eastAsia="Cambria"/>
          <w:b/>
          <w:sz w:val="22"/>
        </w:rPr>
        <w:t>C</w:t>
      </w:r>
      <w:r>
        <w:rPr>
          <w:rFonts w:ascii="Cambria" w:hAnsi="Cambria" w:cs="Cambria" w:eastAsia="Cambria"/>
          <w:sz w:val="22"/>
        </w:rPr>
        <w:t xml:space="preserve"> castrados, </w:t>
      </w:r>
      <w:r>
        <w:rPr>
          <w:rFonts w:ascii="Cambria" w:hAnsi="Cambria" w:cs="Cambria" w:eastAsia="Cambria"/>
          <w:b/>
          <w:sz w:val="22"/>
        </w:rPr>
        <w:t>D</w:t>
      </w:r>
      <w:r>
        <w:rPr>
          <w:rFonts w:ascii="Cambria" w:hAnsi="Cambria" w:cs="Cambria" w:eastAsia="Cambria"/>
          <w:sz w:val="22"/>
        </w:rPr>
        <w:t xml:space="preserve"> hembras que han parido, </w:t>
      </w:r>
      <w:r>
        <w:rPr>
          <w:rFonts w:ascii="Cambria" w:hAnsi="Cambria" w:cs="Cambria" w:eastAsia="Cambria"/>
          <w:b/>
          <w:sz w:val="22"/>
        </w:rPr>
        <w:t>E</w:t>
      </w:r>
      <w:r>
        <w:rPr>
          <w:rFonts w:ascii="Cambria" w:hAnsi="Cambria" w:cs="Cambria" w:eastAsia="Cambria"/>
          <w:sz w:val="22"/>
        </w:rPr>
        <w:t xml:space="preserve"> otras hembras, </w:t>
      </w:r>
      <w:r>
        <w:rPr>
          <w:rFonts w:ascii="Cambria" w:hAnsi="Cambria" w:cs="Cambria" w:eastAsia="Cambria"/>
          <w:b/>
          <w:sz w:val="22"/>
        </w:rPr>
        <w:t>Z</w:t>
      </w:r>
      <w:r>
        <w:rPr>
          <w:rFonts w:ascii="Cambria" w:hAnsi="Cambria" w:cs="Cambria" w:eastAsia="Cambria"/>
          <w:sz w:val="22"/>
        </w:rPr>
        <w:t xml:space="preserve"> 8 a menos de 12 meses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2.2. Ganado porcino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Especie que más carne suministra en el mundo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Aprovecha más del </w:t>
      </w:r>
      <w:r>
        <w:rPr>
          <w:rFonts w:ascii="Cambria" w:hAnsi="Cambria" w:cs="Cambria" w:eastAsia="Cambria"/>
          <w:b/>
          <w:sz w:val="22"/>
        </w:rPr>
        <w:t>95%</w:t>
      </w:r>
      <w:r>
        <w:rPr>
          <w:rFonts w:ascii="Cambria" w:hAnsi="Cambria" w:cs="Cambria" w:eastAsia="Cambria"/>
          <w:sz w:val="22"/>
        </w:rPr>
        <w:t xml:space="preserve">, rendimiento en canal </w:t>
      </w:r>
      <w:r>
        <w:rPr>
          <w:rFonts w:ascii="Cambria" w:hAnsi="Cambria" w:cs="Cambria" w:eastAsia="Cambria"/>
          <w:b/>
          <w:sz w:val="22"/>
        </w:rPr>
        <w:t>75-80%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3 bloques genéticos: chinos, europeos y mediterráneos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Razas españolas: extremeña negra lampiña y entrepelada, andaluza rubia y manchada, extremeña retinta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Foráneas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Large White</w:t>
      </w:r>
      <w:r>
        <w:rPr>
          <w:rFonts w:ascii="Cambria" w:hAnsi="Cambria" w:cs="Cambria" w:eastAsia="Cambria"/>
          <w:sz w:val="22"/>
        </w:rPr>
        <w:t>: madre en cruces industriales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Duroc</w:t>
      </w:r>
      <w:r>
        <w:rPr>
          <w:rFonts w:ascii="Cambria" w:hAnsi="Cambria" w:cs="Cambria" w:eastAsia="Cambria"/>
          <w:sz w:val="22"/>
        </w:rPr>
        <w:t>: padre en cruces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Clasificación </w:t>
      </w:r>
      <w:r>
        <w:rPr>
          <w:rFonts w:ascii="Cambria" w:hAnsi="Cambria" w:cs="Cambria" w:eastAsia="Cambria"/>
          <w:b/>
          <w:sz w:val="22"/>
        </w:rPr>
        <w:t>SEUROP</w:t>
      </w:r>
      <w:r>
        <w:rPr>
          <w:rFonts w:ascii="Cambria" w:hAnsi="Cambria" w:cs="Cambria" w:eastAsia="Cambria"/>
          <w:sz w:val="22"/>
        </w:rPr>
        <w:t xml:space="preserve"> por carne magra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S</w:t>
      </w:r>
      <w:r>
        <w:rPr>
          <w:rFonts w:ascii="Cambria" w:hAnsi="Cambria" w:cs="Cambria" w:eastAsia="Cambria"/>
          <w:sz w:val="22"/>
        </w:rPr>
        <w:t xml:space="preserve"> 60% o más, </w:t>
      </w:r>
      <w:r>
        <w:rPr>
          <w:rFonts w:ascii="Cambria" w:hAnsi="Cambria" w:cs="Cambria" w:eastAsia="Cambria"/>
          <w:b/>
          <w:sz w:val="22"/>
        </w:rPr>
        <w:t>E</w:t>
      </w:r>
      <w:r>
        <w:rPr>
          <w:rFonts w:ascii="Cambria" w:hAnsi="Cambria" w:cs="Cambria" w:eastAsia="Cambria"/>
          <w:sz w:val="22"/>
        </w:rPr>
        <w:t xml:space="preserve"> 55-60%, </w:t>
      </w:r>
      <w:r>
        <w:rPr>
          <w:rFonts w:ascii="Cambria" w:hAnsi="Cambria" w:cs="Cambria" w:eastAsia="Cambria"/>
          <w:b/>
          <w:sz w:val="22"/>
        </w:rPr>
        <w:t>U</w:t>
      </w:r>
      <w:r>
        <w:rPr>
          <w:rFonts w:ascii="Cambria" w:hAnsi="Cambria" w:cs="Cambria" w:eastAsia="Cambria"/>
          <w:sz w:val="22"/>
        </w:rPr>
        <w:t xml:space="preserve"> 50-55%, </w:t>
      </w:r>
      <w:r>
        <w:rPr>
          <w:rFonts w:ascii="Cambria" w:hAnsi="Cambria" w:cs="Cambria" w:eastAsia="Cambria"/>
          <w:b/>
          <w:sz w:val="22"/>
        </w:rPr>
        <w:t>R</w:t>
      </w:r>
      <w:r>
        <w:rPr>
          <w:rFonts w:ascii="Cambria" w:hAnsi="Cambria" w:cs="Cambria" w:eastAsia="Cambria"/>
          <w:sz w:val="22"/>
        </w:rPr>
        <w:t xml:space="preserve"> 45-50%, </w:t>
      </w:r>
      <w:r>
        <w:rPr>
          <w:rFonts w:ascii="Cambria" w:hAnsi="Cambria" w:cs="Cambria" w:eastAsia="Cambria"/>
          <w:b/>
          <w:sz w:val="22"/>
        </w:rPr>
        <w:t>O</w:t>
      </w:r>
      <w:r>
        <w:rPr>
          <w:rFonts w:ascii="Cambria" w:hAnsi="Cambria" w:cs="Cambria" w:eastAsia="Cambria"/>
          <w:sz w:val="22"/>
        </w:rPr>
        <w:t xml:space="preserve"> 40-45%, </w:t>
      </w:r>
      <w:r>
        <w:rPr>
          <w:rFonts w:ascii="Cambria" w:hAnsi="Cambria" w:cs="Cambria" w:eastAsia="Cambria"/>
          <w:b/>
          <w:sz w:val="22"/>
        </w:rPr>
        <w:t>P</w:t>
      </w:r>
      <w:r>
        <w:rPr>
          <w:rFonts w:ascii="Cambria" w:hAnsi="Cambria" w:cs="Cambria" w:eastAsia="Cambria"/>
          <w:sz w:val="22"/>
        </w:rPr>
        <w:t xml:space="preserve"> menos del 40%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2.3. Ganado ovino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Cuádruple aprovechamiento (lana, pieles, carne, leche)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Razas: carne (aragonesa, segureña, alcarreña), carne y leche (manchega, castellana)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Rendimiento en canal </w:t>
      </w:r>
      <w:r>
        <w:rPr>
          <w:rFonts w:ascii="Cambria" w:hAnsi="Cambria" w:cs="Cambria" w:eastAsia="Cambria"/>
          <w:b/>
          <w:sz w:val="22"/>
        </w:rPr>
        <w:t>50-60%</w:t>
      </w:r>
      <w:r>
        <w:rPr>
          <w:rFonts w:ascii="Cambria" w:hAnsi="Cambria" w:cs="Cambria" w:eastAsia="Cambria"/>
          <w:sz w:val="22"/>
        </w:rPr>
        <w:t xml:space="preserve">. Clasificación UE </w:t>
      </w:r>
      <w:r>
        <w:rPr>
          <w:rFonts w:ascii="Cambria" w:hAnsi="Cambria" w:cs="Cambria" w:eastAsia="Cambria"/>
          <w:b/>
          <w:sz w:val="22"/>
        </w:rPr>
        <w:t>voluntaria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Corderos ligeros</w:t>
      </w:r>
      <w:r>
        <w:rPr>
          <w:rFonts w:ascii="Cambria" w:hAnsi="Cambria" w:cs="Cambria" w:eastAsia="Cambria"/>
          <w:sz w:val="22"/>
        </w:rPr>
        <w:t xml:space="preserve"> (menos de 13 kg), España autorizada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A</w:t>
      </w:r>
      <w:r>
        <w:rPr>
          <w:rFonts w:ascii="Cambria" w:hAnsi="Cambria" w:cs="Cambria" w:eastAsia="Cambria"/>
          <w:sz w:val="22"/>
        </w:rPr>
        <w:t xml:space="preserve"> hasta 7 kg (lechal), </w:t>
      </w:r>
      <w:r>
        <w:rPr>
          <w:rFonts w:ascii="Cambria" w:hAnsi="Cambria" w:cs="Cambria" w:eastAsia="Cambria"/>
          <w:b/>
          <w:sz w:val="22"/>
        </w:rPr>
        <w:t>B</w:t>
      </w:r>
      <w:r>
        <w:rPr>
          <w:rFonts w:ascii="Cambria" w:hAnsi="Cambria" w:cs="Cambria" w:eastAsia="Cambria"/>
          <w:sz w:val="22"/>
        </w:rPr>
        <w:t xml:space="preserve"> 7-10 kg (recental), </w:t>
      </w:r>
      <w:r>
        <w:rPr>
          <w:rFonts w:ascii="Cambria" w:hAnsi="Cambria" w:cs="Cambria" w:eastAsia="Cambria"/>
          <w:b/>
          <w:sz w:val="22"/>
        </w:rPr>
        <w:t>C</w:t>
      </w:r>
      <w:r>
        <w:rPr>
          <w:rFonts w:ascii="Cambria" w:hAnsi="Cambria" w:cs="Cambria" w:eastAsia="Cambria"/>
          <w:sz w:val="22"/>
        </w:rPr>
        <w:t xml:space="preserve"> 10-13 kg (pascual ligero)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Dos calidades por color y grasa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Más de 13 kg: </w:t>
      </w:r>
      <w:r>
        <w:rPr>
          <w:rFonts w:ascii="Cambria" w:hAnsi="Cambria" w:cs="Cambria" w:eastAsia="Cambria"/>
          <w:b/>
          <w:sz w:val="22"/>
        </w:rPr>
        <w:t>SEUROP</w:t>
      </w:r>
      <w:r>
        <w:rPr>
          <w:rFonts w:ascii="Cambria" w:hAnsi="Cambria" w:cs="Cambria" w:eastAsia="Cambria"/>
          <w:sz w:val="22"/>
        </w:rPr>
        <w:t xml:space="preserve"> y cinco grados de engrasamiento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2.4. Ganado caprino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Cuádruple aprovechamiento (carne, leche, pieles, fibra)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En países desarrollados solo cabritos y chivos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Razas cárnicas: blanca andaluza, negra serrana. Mixtas: pirenaica, guadarrama, retinta extremeña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Por edad: cabrito lechal (20-25 días), cabrito pascual (35-40 días), chivo (hasta un año), caprino mayor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2.5. Aves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Pollos y gallinas (castellana, prat, menorca, andaluza), pavos, patos, gansos (hígado graso de oca) y palomas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2.6. Conservas, semiconservas, salazones cárnicas y embutidos crudos y curados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Producto cárnico</w:t>
      </w:r>
      <w:r>
        <w:rPr>
          <w:rFonts w:ascii="Cambria" w:hAnsi="Cambria" w:cs="Cambria" w:eastAsia="Cambria"/>
          <w:sz w:val="22"/>
        </w:rPr>
        <w:t>: elaborado total o parcialmente con carnes, despojos, grasas y subproductos de animales de abasto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Clasificación internacional: frescos, crudos adobados, embutidos crudos curados, tratados por calor, salazones, platos preparados y otros derivados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Embutidos crudos curados</w:t>
      </w:r>
      <w:r>
        <w:rPr>
          <w:rFonts w:ascii="Cambria" w:hAnsi="Cambria" w:cs="Cambria" w:eastAsia="Cambria"/>
          <w:sz w:val="22"/>
        </w:rPr>
        <w:t>: carne picada y condimentada, en tripa, con maduración y desecación. Salchichón, salami, fuet, chorizo, longaniza, lomo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Tratados por calor</w:t>
      </w:r>
      <w:r>
        <w:rPr>
          <w:rFonts w:ascii="Cambria" w:hAnsi="Cambria" w:cs="Cambria" w:eastAsia="Cambria"/>
          <w:sz w:val="22"/>
        </w:rPr>
        <w:t xml:space="preserve"> (conservas y semiconservas): coagulación de proteínas. Jamón cocido, mortadela, patés, morcillas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Salazones</w:t>
      </w:r>
      <w:r>
        <w:rPr>
          <w:rFonts w:ascii="Cambria" w:hAnsi="Cambria" w:cs="Cambria" w:eastAsia="Cambria"/>
          <w:sz w:val="22"/>
        </w:rPr>
        <w:t>: sal y nitratos o nitritos. Jamón curado, lacón, cecina, bacon</w:t>
      </w:r>
    </w:p>
    <w:p>
      <w:pPr>
        <w:pStyle w:val="Heading1"/>
      </w:pPr>
      <w:r>
        <w:rPr>
          <w:rFonts w:ascii="Cambria" w:hAnsi="Cambria" w:cs="Cambria" w:eastAsia="Cambria"/>
          <w:b/>
          <w:color w:val="0F4761"/>
          <w:sz w:val="28"/>
        </w:rPr>
        <w:t>3. FACTORES DE CALIDAD COMERCIAL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Calidad comercial</w:t>
      </w:r>
      <w:r>
        <w:rPr>
          <w:rFonts w:ascii="Cambria" w:hAnsi="Cambria" w:cs="Cambria" w:eastAsia="Cambria"/>
          <w:sz w:val="22"/>
        </w:rPr>
        <w:t>: valor añadido por selección, clasificación, calibres, verificación, envasado, almacenaje y transporte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Criterios y categorías fijados por las </w:t>
      </w:r>
      <w:r>
        <w:rPr>
          <w:rFonts w:ascii="Cambria" w:hAnsi="Cambria" w:cs="Cambria" w:eastAsia="Cambria"/>
          <w:b/>
          <w:sz w:val="22"/>
        </w:rPr>
        <w:t>normas de comercialización</w:t>
      </w:r>
      <w:r>
        <w:rPr>
          <w:rFonts w:ascii="Cambria" w:hAnsi="Cambria" w:cs="Cambria" w:eastAsia="Cambria"/>
          <w:sz w:val="22"/>
        </w:rPr>
        <w:t xml:space="preserve"> de la UE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Carne fresca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Peso, edad y sexo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Rendimiento, conformación </w:t>
      </w:r>
      <w:r>
        <w:rPr>
          <w:rFonts w:ascii="Cambria" w:hAnsi="Cambria" w:cs="Cambria" w:eastAsia="Cambria"/>
          <w:b/>
          <w:sz w:val="22"/>
        </w:rPr>
        <w:t>SEUROP</w:t>
      </w:r>
      <w:r>
        <w:rPr>
          <w:rFonts w:ascii="Cambria" w:hAnsi="Cambria" w:cs="Cambria" w:eastAsia="Cambria"/>
          <w:sz w:val="22"/>
        </w:rPr>
        <w:t xml:space="preserve"> y engrasamiento de la canal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Grasa de la cavidad torácica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Color, consistencia y humedad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Ausencia de defectos (olores anómalos, limosidad, pigmentaciones)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Productos transformados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Materias primas: más carne magra, menos grasa y tejido conjuntivo. Límites de humedad/proteína, grasa e hidroxiprolina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Proceso de elaboración e ingredientes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Calidad microbiológica: límites de enterobacterias, estafilococos y sulfitorreductores. Ausencia de salmonellas y shigellas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Hermeticidad</w:t>
      </w:r>
      <w:r>
        <w:rPr>
          <w:rFonts w:ascii="Cambria" w:hAnsi="Cambria" w:cs="Cambria" w:eastAsia="Cambria"/>
          <w:sz w:val="22"/>
        </w:rPr>
        <w:t xml:space="preserve"> del envase, principal factor en conservas</w:t>
      </w:r>
    </w:p>
    <w:p>
      <w:pPr>
        <w:pStyle w:val="Heading1"/>
      </w:pPr>
      <w:r>
        <w:rPr>
          <w:rFonts w:ascii="Cambria" w:hAnsi="Cambria" w:cs="Cambria" w:eastAsia="Cambria"/>
          <w:b/>
          <w:color w:val="0F4761"/>
          <w:sz w:val="28"/>
        </w:rPr>
        <w:t>4. NORMATIVA APLICABLE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4.1. Política Agrícola Común (PAC)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PAC 2023-2027</w:t>
      </w:r>
      <w:r>
        <w:rPr>
          <w:rFonts w:ascii="Cambria" w:hAnsi="Cambria" w:cs="Cambria" w:eastAsia="Cambria"/>
          <w:sz w:val="22"/>
        </w:rPr>
        <w:t>: sostenibilidad, competitividad y simplificación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Reglamentos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(UE) 2021/2115</w:t>
      </w:r>
      <w:r>
        <w:rPr>
          <w:rFonts w:ascii="Cambria" w:hAnsi="Cambria" w:cs="Cambria" w:eastAsia="Cambria"/>
          <w:sz w:val="22"/>
        </w:rPr>
        <w:t>: planes estratégicos (FEAGA y FEADER)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(UE) 2021/2116</w:t>
      </w:r>
      <w:r>
        <w:rPr>
          <w:rFonts w:ascii="Cambria" w:hAnsi="Cambria" w:cs="Cambria" w:eastAsia="Cambria"/>
          <w:sz w:val="22"/>
        </w:rPr>
        <w:t>: financiación, gestión y seguimiento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(UE) 2021/2117</w:t>
      </w:r>
      <w:r>
        <w:rPr>
          <w:rFonts w:ascii="Cambria" w:hAnsi="Cambria" w:cs="Cambria" w:eastAsia="Cambria"/>
          <w:sz w:val="22"/>
        </w:rPr>
        <w:t>: modifica la OCM única (</w:t>
      </w:r>
      <w:r>
        <w:rPr>
          <w:rFonts w:ascii="Cambria" w:hAnsi="Cambria" w:cs="Cambria" w:eastAsia="Cambria"/>
          <w:b/>
          <w:sz w:val="22"/>
        </w:rPr>
        <w:t>1308/2013</w:t>
      </w:r>
      <w:r>
        <w:rPr>
          <w:rFonts w:ascii="Cambria" w:hAnsi="Cambria" w:cs="Cambria" w:eastAsia="Cambria"/>
          <w:sz w:val="22"/>
        </w:rPr>
        <w:t xml:space="preserve">) y el </w:t>
      </w:r>
      <w:r>
        <w:rPr>
          <w:rFonts w:ascii="Cambria" w:hAnsi="Cambria" w:cs="Cambria" w:eastAsia="Cambria"/>
          <w:b/>
          <w:sz w:val="22"/>
        </w:rPr>
        <w:t>1151/2012</w:t>
      </w:r>
      <w:r>
        <w:rPr>
          <w:rFonts w:ascii="Cambria" w:hAnsi="Cambria" w:cs="Cambria" w:eastAsia="Cambria"/>
          <w:sz w:val="22"/>
        </w:rPr>
        <w:t xml:space="preserve"> (regímenes de calidad)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Ayudas directas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BISS</w:t>
      </w:r>
      <w:r>
        <w:rPr>
          <w:rFonts w:ascii="Cambria" w:hAnsi="Cambria" w:cs="Cambria" w:eastAsia="Cambria"/>
          <w:sz w:val="22"/>
        </w:rPr>
        <w:t>, ayuda básica a la renta para la sostenibilidad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Eco-regímenes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Condicionalidad reforzada</w:t>
      </w:r>
      <w:r>
        <w:rPr>
          <w:rFonts w:ascii="Cambria" w:hAnsi="Cambria" w:cs="Cambria" w:eastAsia="Cambria"/>
          <w:sz w:val="22"/>
        </w:rPr>
        <w:t xml:space="preserve"> (BCAM)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Prioridades: sostenibilidad ambiental y climática, relevo generacional, digitalización, organizaciones de productores, resiliencia ante crisis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4.2. Organización Común de Mercados (OCM)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Norma base: </w:t>
      </w:r>
      <w:r>
        <w:rPr>
          <w:rFonts w:ascii="Cambria" w:hAnsi="Cambria" w:cs="Cambria" w:eastAsia="Cambria"/>
          <w:b/>
          <w:sz w:val="22"/>
        </w:rPr>
        <w:t>Reglamento (UE) 1308/2013</w:t>
      </w:r>
      <w:r>
        <w:rPr>
          <w:rFonts w:ascii="Cambria" w:hAnsi="Cambria" w:cs="Cambria" w:eastAsia="Cambria"/>
          <w:sz w:val="22"/>
        </w:rPr>
        <w:t>, modificado por el 2021/2117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Principios: </w:t>
      </w:r>
      <w:r>
        <w:rPr>
          <w:rFonts w:ascii="Cambria" w:hAnsi="Cambria" w:cs="Cambria" w:eastAsia="Cambria"/>
          <w:b/>
          <w:sz w:val="22"/>
        </w:rPr>
        <w:t>unidad de mercado</w:t>
      </w:r>
      <w:r>
        <w:rPr>
          <w:rFonts w:ascii="Cambria" w:hAnsi="Cambria" w:cs="Cambria" w:eastAsia="Cambria"/>
          <w:sz w:val="22"/>
        </w:rPr>
        <w:t xml:space="preserve">, </w:t>
      </w:r>
      <w:r>
        <w:rPr>
          <w:rFonts w:ascii="Cambria" w:hAnsi="Cambria" w:cs="Cambria" w:eastAsia="Cambria"/>
          <w:b/>
          <w:sz w:val="22"/>
        </w:rPr>
        <w:t>preferencia comunitaria</w:t>
      </w:r>
      <w:r>
        <w:rPr>
          <w:rFonts w:ascii="Cambria" w:hAnsi="Cambria" w:cs="Cambria" w:eastAsia="Cambria"/>
          <w:sz w:val="22"/>
        </w:rPr>
        <w:t xml:space="preserve">, </w:t>
      </w:r>
      <w:r>
        <w:rPr>
          <w:rFonts w:ascii="Cambria" w:hAnsi="Cambria" w:cs="Cambria" w:eastAsia="Cambria"/>
          <w:b/>
          <w:sz w:val="22"/>
        </w:rPr>
        <w:t>solidaridad financiera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Objetivos: estabilizar mercados, nivel de vida equitativo del agricultor, competitividad, abastecimiento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Cinco pilares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Normas de comercialización</w:t>
      </w:r>
      <w:r>
        <w:rPr>
          <w:rFonts w:ascii="Cambria" w:hAnsi="Cambria" w:cs="Cambria" w:eastAsia="Cambria"/>
          <w:sz w:val="22"/>
        </w:rPr>
        <w:t>: clasificación de productos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b/>
          <w:sz w:val="22"/>
        </w:rPr>
        <w:t>Reglamento Delegado (UE) 2017/1182</w:t>
      </w:r>
      <w:r>
        <w:rPr>
          <w:rFonts w:ascii="Cambria" w:hAnsi="Cambria" w:cs="Cambria" w:eastAsia="Cambria"/>
          <w:sz w:val="22"/>
        </w:rPr>
        <w:t>: escalas de canales de bovino adulto, porcino y ovino (</w:t>
      </w:r>
      <w:r>
        <w:rPr>
          <w:rFonts w:ascii="Cambria" w:hAnsi="Cambria" w:cs="Cambria" w:eastAsia="Cambria"/>
          <w:b/>
          <w:sz w:val="22"/>
        </w:rPr>
        <w:t>SEUROP</w:t>
      </w:r>
      <w:r>
        <w:rPr>
          <w:rFonts w:ascii="Cambria" w:hAnsi="Cambria" w:cs="Cambria" w:eastAsia="Cambria"/>
          <w:sz w:val="22"/>
        </w:rPr>
        <w:t>) y comunicación de precios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b/>
          <w:sz w:val="22"/>
        </w:rPr>
        <w:t>Reglamento (CE) 1760/2000</w:t>
      </w:r>
      <w:r>
        <w:rPr>
          <w:rFonts w:ascii="Cambria" w:hAnsi="Cambria" w:cs="Cambria" w:eastAsia="Cambria"/>
          <w:sz w:val="22"/>
        </w:rPr>
        <w:t>: identificación, trazabilidad y etiquetado del vacuno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>Base CEPE/ONU (</w:t>
      </w:r>
      <w:r>
        <w:rPr>
          <w:rFonts w:ascii="Cambria" w:hAnsi="Cambria" w:cs="Cambria" w:eastAsia="Cambria"/>
          <w:b/>
          <w:sz w:val="22"/>
        </w:rPr>
        <w:t>WP.7</w:t>
      </w:r>
      <w:r>
        <w:rPr>
          <w:rFonts w:ascii="Cambria" w:hAnsi="Cambria" w:cs="Cambria" w:eastAsia="Cambria"/>
          <w:sz w:val="22"/>
        </w:rPr>
        <w:t>)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>Controles en todas las fases y a terceros países (normas UE o equivalentes)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Organizaciones de productores (OP)</w:t>
      </w:r>
      <w:r>
        <w:rPr>
          <w:rFonts w:ascii="Cambria" w:hAnsi="Cambria" w:cs="Cambria" w:eastAsia="Cambria"/>
          <w:sz w:val="22"/>
        </w:rPr>
        <w:t>: concentran oferta, planifican, reducen costes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Organizaciones interprofesionales</w:t>
      </w:r>
      <w:r>
        <w:rPr>
          <w:rFonts w:ascii="Cambria" w:hAnsi="Cambria" w:cs="Cambria" w:eastAsia="Cambria"/>
          <w:sz w:val="22"/>
        </w:rPr>
        <w:t>: defensa y promoción del sector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b/>
          <w:sz w:val="22"/>
        </w:rPr>
        <w:t>PROVACUNO</w:t>
      </w:r>
      <w:r>
        <w:rPr>
          <w:rFonts w:ascii="Cambria" w:hAnsi="Cambria" w:cs="Cambria" w:eastAsia="Cambria"/>
          <w:sz w:val="22"/>
        </w:rPr>
        <w:t xml:space="preserve">, </w:t>
      </w:r>
      <w:r>
        <w:rPr>
          <w:rFonts w:ascii="Cambria" w:hAnsi="Cambria" w:cs="Cambria" w:eastAsia="Cambria"/>
          <w:b/>
          <w:sz w:val="22"/>
        </w:rPr>
        <w:t>INVAC</w:t>
      </w:r>
      <w:r>
        <w:rPr>
          <w:rFonts w:ascii="Cambria" w:hAnsi="Cambria" w:cs="Cambria" w:eastAsia="Cambria"/>
          <w:sz w:val="22"/>
        </w:rPr>
        <w:t xml:space="preserve">, </w:t>
      </w:r>
      <w:r>
        <w:rPr>
          <w:rFonts w:ascii="Cambria" w:hAnsi="Cambria" w:cs="Cambria" w:eastAsia="Cambria"/>
          <w:b/>
          <w:sz w:val="22"/>
        </w:rPr>
        <w:t>INTERPORC</w:t>
      </w:r>
      <w:r>
        <w:rPr>
          <w:rFonts w:ascii="Cambria" w:hAnsi="Cambria" w:cs="Cambria" w:eastAsia="Cambria"/>
          <w:sz w:val="22"/>
        </w:rPr>
        <w:t xml:space="preserve">. Asociación: </w:t>
      </w:r>
      <w:r>
        <w:rPr>
          <w:rFonts w:ascii="Cambria" w:hAnsi="Cambria" w:cs="Cambria" w:eastAsia="Cambria"/>
          <w:b/>
          <w:sz w:val="22"/>
        </w:rPr>
        <w:t>FIAB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Régimen de intervención</w:t>
      </w:r>
      <w:r>
        <w:rPr>
          <w:rFonts w:ascii="Cambria" w:hAnsi="Cambria" w:cs="Cambria" w:eastAsia="Cambria"/>
          <w:sz w:val="22"/>
        </w:rPr>
        <w:t>: estabilidad del mercado, intervención pública, ayudas al almacenamiento privado y retirada con compensación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>FEGA gestiona, FEAGA financia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>Pagos acoplados mantenidos: vacuno nodriza, vacuno de leche, vacuno de cebo, ovino y caprino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Intercambios con terceros países</w:t>
      </w:r>
      <w:r>
        <w:rPr>
          <w:rFonts w:ascii="Cambria" w:hAnsi="Cambria" w:cs="Cambria" w:eastAsia="Cambria"/>
          <w:sz w:val="22"/>
        </w:rPr>
        <w:t>: aranceles, contingentes, salvaguardias, certificados de importación y exportación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4.3. Normativa voluntaria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CEPE/UN (WP.7)</w:t>
      </w:r>
      <w:r>
        <w:rPr>
          <w:rFonts w:ascii="Cambria" w:hAnsi="Cambria" w:cs="Cambria" w:eastAsia="Cambria"/>
          <w:sz w:val="22"/>
        </w:rPr>
        <w:t>: base de las normas de comercialización. 4 secciones, una de carne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Temas: desperdicio alimentario y trazabilidad (ODS 2030)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OCDE</w:t>
      </w:r>
      <w:r>
        <w:rPr>
          <w:rFonts w:ascii="Cambria" w:hAnsi="Cambria" w:cs="Cambria" w:eastAsia="Cambria"/>
          <w:sz w:val="22"/>
        </w:rPr>
        <w:t>: sin folletos interpretativos para carne (no aplica)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CODEX</w:t>
      </w:r>
      <w:r>
        <w:rPr>
          <w:rFonts w:ascii="Cambria" w:hAnsi="Cambria" w:cs="Cambria" w:eastAsia="Cambria"/>
          <w:sz w:val="22"/>
        </w:rPr>
        <w:t>: normas del jamón curado cocido y de la carne curada picada y cocida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Producción controlada</w:t>
      </w:r>
      <w:r>
        <w:rPr>
          <w:rFonts w:ascii="Cambria" w:hAnsi="Cambria" w:cs="Cambria" w:eastAsia="Cambria"/>
          <w:sz w:val="22"/>
        </w:rPr>
        <w:t xml:space="preserve">: normas </w:t>
      </w:r>
      <w:r>
        <w:rPr>
          <w:rFonts w:ascii="Cambria" w:hAnsi="Cambria" w:cs="Cambria" w:eastAsia="Cambria"/>
          <w:b/>
          <w:sz w:val="22"/>
        </w:rPr>
        <w:t>UNE</w:t>
      </w:r>
      <w:r>
        <w:rPr>
          <w:rFonts w:ascii="Cambria" w:hAnsi="Cambria" w:cs="Cambria" w:eastAsia="Cambria"/>
          <w:sz w:val="22"/>
        </w:rPr>
        <w:t xml:space="preserve"> de AENOR (AEN/CTN 155)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Producción ecológica</w:t>
      </w:r>
      <w:r>
        <w:rPr>
          <w:rFonts w:ascii="Cambria" w:hAnsi="Cambria" w:cs="Cambria" w:eastAsia="Cambria"/>
          <w:sz w:val="22"/>
        </w:rPr>
        <w:t xml:space="preserve">: </w:t>
      </w:r>
      <w:r>
        <w:rPr>
          <w:rFonts w:ascii="Cambria" w:hAnsi="Cambria" w:cs="Cambria" w:eastAsia="Cambria"/>
          <w:b/>
          <w:sz w:val="22"/>
        </w:rPr>
        <w:t>Reglamento (UE) 2018/848</w:t>
      </w:r>
      <w:r>
        <w:rPr>
          <w:rFonts w:ascii="Cambria" w:hAnsi="Cambria" w:cs="Cambria" w:eastAsia="Cambria"/>
          <w:sz w:val="22"/>
        </w:rPr>
        <w:t>, deroga el 834/2007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Terceros países con estándares comunitarios desde 2023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Reglamento de Ejecución (UE) 2016/1842</w:t>
      </w:r>
      <w:r>
        <w:rPr>
          <w:rFonts w:ascii="Cambria" w:hAnsi="Cambria" w:cs="Cambria" w:eastAsia="Cambria"/>
          <w:sz w:val="22"/>
        </w:rPr>
        <w:t>: certificado electrónico de importación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SOIVRE controla importaciones según la </w:t>
      </w:r>
      <w:r>
        <w:rPr>
          <w:rFonts w:ascii="Cambria" w:hAnsi="Cambria" w:cs="Cambria" w:eastAsia="Cambria"/>
          <w:b/>
          <w:sz w:val="22"/>
        </w:rPr>
        <w:t>Orden ECC/1936/2014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Producción integrada</w:t>
      </w:r>
      <w:r>
        <w:rPr>
          <w:rFonts w:ascii="Cambria" w:hAnsi="Cambria" w:cs="Cambria" w:eastAsia="Cambria"/>
          <w:sz w:val="22"/>
        </w:rPr>
        <w:t xml:space="preserve">: </w:t>
      </w:r>
      <w:r>
        <w:rPr>
          <w:rFonts w:ascii="Cambria" w:hAnsi="Cambria" w:cs="Cambria" w:eastAsia="Cambria"/>
          <w:b/>
          <w:sz w:val="22"/>
        </w:rPr>
        <w:t>RD 1201/2002</w:t>
      </w:r>
      <w:r>
        <w:rPr>
          <w:rFonts w:ascii="Cambria" w:hAnsi="Cambria" w:cs="Cambria" w:eastAsia="Cambria"/>
          <w:sz w:val="22"/>
        </w:rPr>
        <w:t xml:space="preserve">, logotipo según </w:t>
      </w:r>
      <w:r>
        <w:rPr>
          <w:rFonts w:ascii="Cambria" w:hAnsi="Cambria" w:cs="Cambria" w:eastAsia="Cambria"/>
          <w:b/>
          <w:sz w:val="22"/>
        </w:rPr>
        <w:t>Orden APA/1/2004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DOP, IGP y ETG</w:t>
      </w:r>
      <w:r>
        <w:rPr>
          <w:rFonts w:ascii="Cambria" w:hAnsi="Cambria" w:cs="Cambria" w:eastAsia="Cambria"/>
          <w:sz w:val="22"/>
        </w:rPr>
        <w:t xml:space="preserve">: </w:t>
      </w:r>
      <w:r>
        <w:rPr>
          <w:rFonts w:ascii="Cambria" w:hAnsi="Cambria" w:cs="Cambria" w:eastAsia="Cambria"/>
          <w:b/>
          <w:sz w:val="22"/>
        </w:rPr>
        <w:t>Reglamento (UE) 2024/1143</w:t>
      </w:r>
      <w:r>
        <w:rPr>
          <w:rFonts w:ascii="Cambria" w:hAnsi="Cambria" w:cs="Cambria" w:eastAsia="Cambria"/>
          <w:sz w:val="22"/>
        </w:rPr>
        <w:t xml:space="preserve">, </w:t>
      </w:r>
      <w:r>
        <w:rPr>
          <w:rFonts w:ascii="Cambria" w:hAnsi="Cambria" w:cs="Cambria" w:eastAsia="Cambria"/>
          <w:b/>
          <w:sz w:val="22"/>
        </w:rPr>
        <w:t>Ley 6/2015</w:t>
      </w:r>
      <w:r>
        <w:rPr>
          <w:rFonts w:ascii="Cambria" w:hAnsi="Cambria" w:cs="Cambria" w:eastAsia="Cambria"/>
          <w:sz w:val="22"/>
        </w:rPr>
        <w:t xml:space="preserve"> (control por la AICA)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IGP Ternera Gallega, DOP Guijuelo, DOP Jamón de Teruel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Buenas prácticas ganaderas</w:t>
      </w:r>
      <w:r>
        <w:rPr>
          <w:rFonts w:ascii="Cambria" w:hAnsi="Cambria" w:cs="Cambria" w:eastAsia="Cambria"/>
          <w:sz w:val="22"/>
        </w:rPr>
        <w:t>: GLOBAL G.A.P. (Certified Meat), SQF, Tesco Nurture, Carrefour Quality Lines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4.4. Normativa específica del sector cárnico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Reglamento Delegado (UE) 2017/1182</w:t>
      </w:r>
      <w:r>
        <w:rPr>
          <w:rFonts w:ascii="Cambria" w:hAnsi="Cambria" w:cs="Cambria" w:eastAsia="Cambria"/>
          <w:sz w:val="22"/>
        </w:rPr>
        <w:t>: escalas SEUROP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Reglamento (CE) 1760/2000</w:t>
      </w:r>
      <w:r>
        <w:rPr>
          <w:rFonts w:ascii="Cambria" w:hAnsi="Cambria" w:cs="Cambria" w:eastAsia="Cambria"/>
          <w:sz w:val="22"/>
        </w:rPr>
        <w:t>: identificación y etiquetado de vacuno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Reglamento (CE) 566/2008</w:t>
      </w:r>
      <w:r>
        <w:rPr>
          <w:rFonts w:ascii="Cambria" w:hAnsi="Cambria" w:cs="Cambria" w:eastAsia="Cambria"/>
          <w:sz w:val="22"/>
        </w:rPr>
        <w:t>: carne de bovinos de hasta doce meses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Reglamento Delegado (UE) 2026/343</w:t>
      </w:r>
      <w:r>
        <w:rPr>
          <w:rFonts w:ascii="Cambria" w:hAnsi="Cambria" w:cs="Cambria" w:eastAsia="Cambria"/>
          <w:sz w:val="22"/>
        </w:rPr>
        <w:t>: carne de aves de corral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Real Decreto 4/2014</w:t>
      </w:r>
      <w:r>
        <w:rPr>
          <w:rFonts w:ascii="Cambria" w:hAnsi="Cambria" w:cs="Cambria" w:eastAsia="Cambria"/>
          <w:sz w:val="22"/>
        </w:rPr>
        <w:t>: calidad de carne, jamón, paleta y caña de lomo ibérico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Real Decreto 474/2014</w:t>
      </w:r>
      <w:r>
        <w:rPr>
          <w:rFonts w:ascii="Cambria" w:hAnsi="Cambria" w:cs="Cambria" w:eastAsia="Cambria"/>
          <w:sz w:val="22"/>
        </w:rPr>
        <w:t>: calidad de derivados cárnicos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Real Decreto 993/2014</w:t>
      </w:r>
      <w:r>
        <w:rPr>
          <w:rFonts w:ascii="Cambria" w:hAnsi="Cambria" w:cs="Cambria" w:eastAsia="Cambria"/>
          <w:sz w:val="22"/>
        </w:rPr>
        <w:t xml:space="preserve">: </w:t>
      </w:r>
      <w:r>
        <w:rPr>
          <w:rFonts w:ascii="Cambria" w:hAnsi="Cambria" w:cs="Cambria" w:eastAsia="Cambria"/>
          <w:b/>
          <w:sz w:val="22"/>
        </w:rPr>
        <w:t>SAE</w:t>
      </w:r>
      <w:r>
        <w:rPr>
          <w:rFonts w:ascii="Cambria" w:hAnsi="Cambria" w:cs="Cambria" w:eastAsia="Cambria"/>
          <w:sz w:val="22"/>
        </w:rPr>
        <w:t xml:space="preserve"> para exportar a terceros países con requisitos adicionales o listas de establecimientos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Reglamento (UE) 2016/429</w:t>
      </w:r>
      <w:r>
        <w:rPr>
          <w:rFonts w:ascii="Cambria" w:hAnsi="Cambria" w:cs="Cambria" w:eastAsia="Cambria"/>
          <w:sz w:val="22"/>
        </w:rPr>
        <w:t>: sanidad animal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Reglamento Delegado (UE) 2024/1141</w:t>
      </w:r>
      <w:r>
        <w:rPr>
          <w:rFonts w:ascii="Cambria" w:hAnsi="Cambria" w:cs="Cambria" w:eastAsia="Cambria"/>
          <w:sz w:val="22"/>
        </w:rPr>
        <w:t>: carne madurada en seco (35 días), transporte de canales (30 horas), mataderos móviles, marcado UE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Reglamento (UE) 2019/6</w:t>
      </w:r>
      <w:r>
        <w:rPr>
          <w:rFonts w:ascii="Cambria" w:hAnsi="Cambria" w:cs="Cambria" w:eastAsia="Cambria"/>
          <w:sz w:val="22"/>
        </w:rPr>
        <w:t>: medicamentos veterinarios y resistencia antimicrobiana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Reglamento (CE) 1831/2003</w:t>
      </w:r>
      <w:r>
        <w:rPr>
          <w:rFonts w:ascii="Cambria" w:hAnsi="Cambria" w:cs="Cambria" w:eastAsia="Cambria"/>
          <w:sz w:val="22"/>
        </w:rPr>
        <w:t>: aditivos en alimentación animal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4.5. Normativa general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RD 175/2004</w:t>
      </w:r>
      <w:r>
        <w:rPr>
          <w:rFonts w:ascii="Cambria" w:hAnsi="Cambria" w:cs="Cambria" w:eastAsia="Cambria"/>
          <w:sz w:val="22"/>
        </w:rPr>
        <w:t>: autoridad de controles de conformidad (Secretaría de Estado de Comercio)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Reglamento (CE) 396/2005</w:t>
      </w:r>
      <w:r>
        <w:rPr>
          <w:rFonts w:ascii="Cambria" w:hAnsi="Cambria" w:cs="Cambria" w:eastAsia="Cambria"/>
          <w:sz w:val="22"/>
        </w:rPr>
        <w:t>: residuos de plaguicidas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Reglamento (UE) 2023/915</w:t>
      </w:r>
      <w:r>
        <w:rPr>
          <w:rFonts w:ascii="Cambria" w:hAnsi="Cambria" w:cs="Cambria" w:eastAsia="Cambria"/>
          <w:sz w:val="22"/>
        </w:rPr>
        <w:t>: contaminantes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Reglamento (UE) 1169/2011</w:t>
      </w:r>
      <w:r>
        <w:rPr>
          <w:rFonts w:ascii="Cambria" w:hAnsi="Cambria" w:cs="Cambria" w:eastAsia="Cambria"/>
          <w:sz w:val="22"/>
        </w:rPr>
        <w:t>: información al consumidor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RD 1055/2022</w:t>
      </w:r>
      <w:r>
        <w:rPr>
          <w:rFonts w:ascii="Cambria" w:hAnsi="Cambria" w:cs="Cambria" w:eastAsia="Cambria"/>
          <w:sz w:val="22"/>
        </w:rPr>
        <w:t>: envases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Higiene: </w:t>
      </w:r>
      <w:r>
        <w:rPr>
          <w:rFonts w:ascii="Cambria" w:hAnsi="Cambria" w:cs="Cambria" w:eastAsia="Cambria"/>
          <w:b/>
          <w:sz w:val="22"/>
        </w:rPr>
        <w:t>Reglamentos (CE) 852 y 853/2004</w:t>
      </w:r>
      <w:r>
        <w:rPr>
          <w:rFonts w:ascii="Cambria" w:hAnsi="Cambria" w:cs="Cambria" w:eastAsia="Cambria"/>
          <w:sz w:val="22"/>
        </w:rPr>
        <w:t xml:space="preserve"> y </w:t>
      </w:r>
      <w:r>
        <w:rPr>
          <w:rFonts w:ascii="Cambria" w:hAnsi="Cambria" w:cs="Cambria" w:eastAsia="Cambria"/>
          <w:b/>
          <w:sz w:val="22"/>
        </w:rPr>
        <w:t>(UE) 2017/625</w:t>
      </w:r>
      <w:r>
        <w:rPr>
          <w:rFonts w:ascii="Cambria" w:hAnsi="Cambria" w:cs="Cambria" w:eastAsia="Cambria"/>
          <w:sz w:val="22"/>
        </w:rPr>
        <w:t xml:space="preserve"> (controles oficiales)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Ley 28/2015</w:t>
      </w:r>
      <w:r>
        <w:rPr>
          <w:rFonts w:ascii="Cambria" w:hAnsi="Cambria" w:cs="Cambria" w:eastAsia="Cambria"/>
          <w:sz w:val="22"/>
        </w:rPr>
        <w:t>: calidad alimentaria y sanciones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Ley 1/2025</w:t>
      </w:r>
      <w:r>
        <w:rPr>
          <w:rFonts w:ascii="Cambria" w:hAnsi="Cambria" w:cs="Cambria" w:eastAsia="Cambria"/>
          <w:sz w:val="22"/>
        </w:rPr>
        <w:t>: pérdidas y desperdicio alimentario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Orden PRE/3026/2003</w:t>
      </w:r>
      <w:r>
        <w:rPr>
          <w:rFonts w:ascii="Cambria" w:hAnsi="Cambria" w:cs="Cambria" w:eastAsia="Cambria"/>
          <w:sz w:val="22"/>
        </w:rPr>
        <w:t>: control SOIVRE de calidad comercial en importación de determinadas carnes y despojos</w:t>
      </w:r>
    </w:p>
    <w:p>
      <w:pPr>
        <w:pStyle w:val="Heading1"/>
      </w:pPr>
      <w:r>
        <w:rPr>
          <w:rFonts w:ascii="Cambria" w:hAnsi="Cambria" w:cs="Cambria" w:eastAsia="Cambria"/>
          <w:b/>
          <w:color w:val="0F4761"/>
          <w:sz w:val="28"/>
        </w:rPr>
        <w:t>5. ANÁLISIS SECTORIAL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Productores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Vacuno: EEUU, Brasil, China y Argentina. España quinta en la UE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Porcino: España primera en la UE y tercera mundial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Ovino: España séptima mundial y segunda en la UE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Caprino: China, India y Pakistán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Aves: EEUU, China, Brasil y México. Crisis de gripe aviar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Superávit cárnico: porcino el </w:t>
      </w:r>
      <w:r>
        <w:rPr>
          <w:rFonts w:ascii="Cambria" w:hAnsi="Cambria" w:cs="Cambria" w:eastAsia="Cambria"/>
          <w:b/>
          <w:sz w:val="22"/>
        </w:rPr>
        <w:t>67,8%</w:t>
      </w:r>
      <w:r>
        <w:rPr>
          <w:rFonts w:ascii="Cambria" w:hAnsi="Cambria" w:cs="Cambria" w:eastAsia="Cambria"/>
          <w:sz w:val="22"/>
        </w:rPr>
        <w:t xml:space="preserve"> de las exportaciones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Bovino</w:t>
      </w:r>
      <w:r>
        <w:rPr>
          <w:rFonts w:ascii="Cambria" w:hAnsi="Cambria" w:cs="Cambria" w:eastAsia="Cambria"/>
          <w:sz w:val="22"/>
        </w:rPr>
        <w:t xml:space="preserve"> (2025): saldo de </w:t>
      </w:r>
      <w:r>
        <w:rPr>
          <w:rFonts w:ascii="Cambria" w:hAnsi="Cambria" w:cs="Cambria" w:eastAsia="Cambria"/>
          <w:b/>
          <w:sz w:val="22"/>
        </w:rPr>
        <w:t>-120 M€</w:t>
      </w:r>
      <w:r>
        <w:rPr>
          <w:rFonts w:ascii="Cambria" w:hAnsi="Cambria" w:cs="Cambria" w:eastAsia="Cambria"/>
          <w:sz w:val="22"/>
        </w:rPr>
        <w:t xml:space="preserve">, importaciones </w:t>
      </w:r>
      <w:r>
        <w:rPr>
          <w:rFonts w:ascii="Cambria" w:hAnsi="Cambria" w:cs="Cambria" w:eastAsia="Cambria"/>
          <w:b/>
          <w:sz w:val="22"/>
        </w:rPr>
        <w:t>+22,5%</w:t>
      </w:r>
      <w:r>
        <w:rPr>
          <w:rFonts w:ascii="Cambria" w:hAnsi="Cambria" w:cs="Cambria" w:eastAsia="Cambria"/>
          <w:sz w:val="22"/>
        </w:rPr>
        <w:t xml:space="preserve"> y exportaciones </w:t>
      </w:r>
      <w:r>
        <w:rPr>
          <w:rFonts w:ascii="Cambria" w:hAnsi="Cambria" w:cs="Cambria" w:eastAsia="Cambria"/>
          <w:b/>
          <w:sz w:val="22"/>
        </w:rPr>
        <w:t>+6%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Compra la UE (</w:t>
      </w:r>
      <w:r>
        <w:rPr>
          <w:rFonts w:ascii="Cambria" w:hAnsi="Cambria" w:cs="Cambria" w:eastAsia="Cambria"/>
          <w:b/>
          <w:sz w:val="22"/>
        </w:rPr>
        <w:t>78%</w:t>
      </w:r>
      <w:r>
        <w:rPr>
          <w:rFonts w:ascii="Cambria" w:hAnsi="Cambria" w:cs="Cambria" w:eastAsia="Cambria"/>
          <w:sz w:val="22"/>
        </w:rPr>
        <w:t>). Importaciones UE (</w:t>
      </w:r>
      <w:r>
        <w:rPr>
          <w:rFonts w:ascii="Cambria" w:hAnsi="Cambria" w:cs="Cambria" w:eastAsia="Cambria"/>
          <w:b/>
          <w:sz w:val="22"/>
        </w:rPr>
        <w:t>90%</w:t>
      </w:r>
      <w:r>
        <w:rPr>
          <w:rFonts w:ascii="Cambria" w:hAnsi="Cambria" w:cs="Cambria" w:eastAsia="Cambria"/>
          <w:sz w:val="22"/>
        </w:rPr>
        <w:t>), Brasil y Uruguay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OMSA 2016: riesgo insignificante de EEB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Porcino</w:t>
      </w:r>
      <w:r>
        <w:rPr>
          <w:rFonts w:ascii="Cambria" w:hAnsi="Cambria" w:cs="Cambria" w:eastAsia="Cambria"/>
          <w:sz w:val="22"/>
        </w:rPr>
        <w:t xml:space="preserve">: superávit de </w:t>
      </w:r>
      <w:r>
        <w:rPr>
          <w:rFonts w:ascii="Cambria" w:hAnsi="Cambria" w:cs="Cambria" w:eastAsia="Cambria"/>
          <w:b/>
          <w:sz w:val="22"/>
        </w:rPr>
        <w:t>7.877 M€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Exportaciones </w:t>
      </w:r>
      <w:r>
        <w:rPr>
          <w:rFonts w:ascii="Cambria" w:hAnsi="Cambria" w:cs="Cambria" w:eastAsia="Cambria"/>
          <w:b/>
          <w:sz w:val="22"/>
        </w:rPr>
        <w:t>-1,5%</w:t>
      </w:r>
      <w:r>
        <w:rPr>
          <w:rFonts w:ascii="Cambria" w:hAnsi="Cambria" w:cs="Cambria" w:eastAsia="Cambria"/>
          <w:sz w:val="22"/>
        </w:rPr>
        <w:t>. UE algo más del 50%, China segundo cliente, Japón, Corea del Sur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Importaciones </w:t>
      </w:r>
      <w:r>
        <w:rPr>
          <w:rFonts w:ascii="Cambria" w:hAnsi="Cambria" w:cs="Cambria" w:eastAsia="Cambria"/>
          <w:b/>
          <w:sz w:val="22"/>
        </w:rPr>
        <w:t>+8,5%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Peste porcina africana</w:t>
      </w:r>
      <w:r>
        <w:rPr>
          <w:rFonts w:ascii="Cambria" w:hAnsi="Cambria" w:cs="Cambria" w:eastAsia="Cambria"/>
          <w:sz w:val="22"/>
        </w:rPr>
        <w:t>: foco del 28-11-2025 en Cerdanyola del Vallès (primero desde 1994)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>Pérdida temporal del estatus ante la OMSA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b/>
          <w:sz w:val="22"/>
        </w:rPr>
        <w:t>Reglamento de Ejecución (UE) 2023/594</w:t>
      </w:r>
      <w:r>
        <w:rPr>
          <w:rFonts w:ascii="Cambria" w:hAnsi="Cambria" w:cs="Cambria" w:eastAsia="Cambria"/>
          <w:sz w:val="22"/>
        </w:rPr>
        <w:t xml:space="preserve">, actualizado por el </w:t>
      </w:r>
      <w:r>
        <w:rPr>
          <w:rFonts w:ascii="Cambria" w:hAnsi="Cambria" w:cs="Cambria" w:eastAsia="Cambria"/>
          <w:b/>
          <w:sz w:val="22"/>
        </w:rPr>
        <w:t>2026/985</w:t>
      </w:r>
      <w:r>
        <w:rPr>
          <w:rFonts w:ascii="Cambria" w:hAnsi="Cambria" w:cs="Cambria" w:eastAsia="Cambria"/>
          <w:sz w:val="22"/>
        </w:rPr>
        <w:t xml:space="preserve">. </w:t>
      </w:r>
      <w:r>
        <w:rPr>
          <w:rFonts w:ascii="Cambria" w:hAnsi="Cambria" w:cs="Cambria" w:eastAsia="Cambria"/>
          <w:b/>
          <w:sz w:val="22"/>
        </w:rPr>
        <w:t>Orden APA/1387/2025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 xml:space="preserve">Más de 120 certificados bloqueados en unos 24 países, más de </w:t>
      </w:r>
      <w:r>
        <w:rPr>
          <w:rFonts w:ascii="Cambria" w:hAnsi="Cambria" w:cs="Cambria" w:eastAsia="Cambria"/>
          <w:b/>
          <w:sz w:val="22"/>
        </w:rPr>
        <w:t>3.000 M€</w:t>
      </w:r>
      <w:r>
        <w:rPr>
          <w:rFonts w:ascii="Cambria" w:hAnsi="Cambria" w:cs="Cambria" w:eastAsia="Cambria"/>
          <w:sz w:val="22"/>
        </w:rPr>
        <w:t xml:space="preserve"> en riesgo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>China regionaliza (provincia de Barcelona). Filipinas levantó el veto en mayo de 2026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Ovino-caprino</w:t>
      </w:r>
      <w:r>
        <w:rPr>
          <w:rFonts w:ascii="Cambria" w:hAnsi="Cambria" w:cs="Cambria" w:eastAsia="Cambria"/>
          <w:sz w:val="22"/>
        </w:rPr>
        <w:t xml:space="preserve">: superávit de </w:t>
      </w:r>
      <w:r>
        <w:rPr>
          <w:rFonts w:ascii="Cambria" w:hAnsi="Cambria" w:cs="Cambria" w:eastAsia="Cambria"/>
          <w:b/>
          <w:sz w:val="22"/>
        </w:rPr>
        <w:t>476 M€</w:t>
      </w:r>
      <w:r>
        <w:rPr>
          <w:rFonts w:ascii="Cambria" w:hAnsi="Cambria" w:cs="Cambria" w:eastAsia="Cambria"/>
          <w:sz w:val="22"/>
        </w:rPr>
        <w:t xml:space="preserve">, exportaciones </w:t>
      </w:r>
      <w:r>
        <w:rPr>
          <w:rFonts w:ascii="Cambria" w:hAnsi="Cambria" w:cs="Cambria" w:eastAsia="Cambria"/>
          <w:b/>
          <w:sz w:val="22"/>
        </w:rPr>
        <w:t>+20%</w:t>
      </w:r>
      <w:r>
        <w:rPr>
          <w:rFonts w:ascii="Cambria" w:hAnsi="Cambria" w:cs="Cambria" w:eastAsia="Cambria"/>
          <w:sz w:val="22"/>
        </w:rPr>
        <w:t>, Argelia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Aves</w:t>
      </w:r>
      <w:r>
        <w:rPr>
          <w:rFonts w:ascii="Cambria" w:hAnsi="Cambria" w:cs="Cambria" w:eastAsia="Cambria"/>
          <w:sz w:val="22"/>
        </w:rPr>
        <w:t xml:space="preserve">: saldo de </w:t>
      </w:r>
      <w:r>
        <w:rPr>
          <w:rFonts w:ascii="Cambria" w:hAnsi="Cambria" w:cs="Cambria" w:eastAsia="Cambria"/>
          <w:b/>
          <w:sz w:val="22"/>
        </w:rPr>
        <w:t>36 M€</w:t>
      </w:r>
      <w:r>
        <w:rPr>
          <w:rFonts w:ascii="Cambria" w:hAnsi="Cambria" w:cs="Cambria" w:eastAsia="Cambria"/>
          <w:sz w:val="22"/>
        </w:rPr>
        <w:t xml:space="preserve">, exportaciones </w:t>
      </w:r>
      <w:r>
        <w:rPr>
          <w:rFonts w:ascii="Cambria" w:hAnsi="Cambria" w:cs="Cambria" w:eastAsia="Cambria"/>
          <w:b/>
          <w:sz w:val="22"/>
        </w:rPr>
        <w:t>+18,3%</w:t>
      </w:r>
      <w:r>
        <w:rPr>
          <w:rFonts w:ascii="Cambria" w:hAnsi="Cambria" w:cs="Cambria" w:eastAsia="Cambria"/>
          <w:sz w:val="22"/>
        </w:rPr>
        <w:t xml:space="preserve">, importaciones </w:t>
      </w:r>
      <w:r>
        <w:rPr>
          <w:rFonts w:ascii="Cambria" w:hAnsi="Cambria" w:cs="Cambria" w:eastAsia="Cambria"/>
          <w:b/>
          <w:sz w:val="22"/>
        </w:rPr>
        <w:t>+20,7%</w:t>
      </w:r>
      <w:r>
        <w:rPr>
          <w:rFonts w:ascii="Cambria" w:hAnsi="Cambria" w:cs="Cambria" w:eastAsia="Cambria"/>
          <w:sz w:val="22"/>
        </w:rPr>
        <w:t>. Influenza aviar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Halal y kosher</w:t>
      </w:r>
      <w:r>
        <w:rPr>
          <w:rFonts w:ascii="Cambria" w:hAnsi="Cambria" w:cs="Cambria" w:eastAsia="Cambria"/>
          <w:sz w:val="22"/>
        </w:rPr>
        <w:t xml:space="preserve">: crecimiento, </w:t>
      </w:r>
      <w:r>
        <w:rPr>
          <w:rFonts w:ascii="Cambria" w:hAnsi="Cambria" w:cs="Cambria" w:eastAsia="Cambria"/>
          <w:b/>
          <w:sz w:val="22"/>
        </w:rPr>
        <w:t>Ley 26/1992</w:t>
      </w:r>
    </w:p>
    <w:p>
      <w:pPr>
        <w:pStyle w:val="Heading1"/>
      </w:pPr>
      <w:r>
        <w:rPr>
          <w:rFonts w:ascii="Cambria" w:hAnsi="Cambria" w:cs="Cambria" w:eastAsia="Cambria"/>
          <w:b/>
          <w:color w:val="0F4761"/>
          <w:sz w:val="28"/>
        </w:rPr>
        <w:t>6. CONCLUSIÓN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Principal industria alimentaria de España. Primer productor porcino de la UE y tercero mundial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Superávit impulsado por el porcino (</w:t>
      </w:r>
      <w:r>
        <w:rPr>
          <w:rFonts w:ascii="Cambria" w:hAnsi="Cambria" w:cs="Cambria" w:eastAsia="Cambria"/>
          <w:b/>
          <w:sz w:val="22"/>
        </w:rPr>
        <w:t>67,8%</w:t>
      </w:r>
      <w:r>
        <w:rPr>
          <w:rFonts w:ascii="Cambria" w:hAnsi="Cambria" w:cs="Cambria" w:eastAsia="Cambria"/>
          <w:sz w:val="22"/>
        </w:rPr>
        <w:t xml:space="preserve">, </w:t>
      </w:r>
      <w:r>
        <w:rPr>
          <w:rFonts w:ascii="Cambria" w:hAnsi="Cambria" w:cs="Cambria" w:eastAsia="Cambria"/>
          <w:b/>
          <w:sz w:val="22"/>
        </w:rPr>
        <w:t>7.877 M€</w:t>
      </w:r>
      <w:r>
        <w:rPr>
          <w:rFonts w:ascii="Cambria" w:hAnsi="Cambria" w:cs="Cambria" w:eastAsia="Cambria"/>
          <w:sz w:val="22"/>
        </w:rPr>
        <w:t>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Riesgos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PPA</w:t>
      </w:r>
      <w:r>
        <w:rPr>
          <w:rFonts w:ascii="Cambria" w:hAnsi="Cambria" w:cs="Cambria" w:eastAsia="Cambria"/>
          <w:sz w:val="22"/>
        </w:rPr>
        <w:t>: certificados bloqueados, reapertura de Japón y México prioritaria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Mercosur</w:t>
      </w:r>
      <w:r>
        <w:rPr>
          <w:rFonts w:ascii="Cambria" w:hAnsi="Cambria" w:cs="Cambria" w:eastAsia="Cambria"/>
          <w:sz w:val="22"/>
        </w:rPr>
        <w:t xml:space="preserve">: cuota adicional de </w:t>
      </w:r>
      <w:r>
        <w:rPr>
          <w:rFonts w:ascii="Cambria" w:hAnsi="Cambria" w:cs="Cambria" w:eastAsia="Cambria"/>
          <w:b/>
          <w:sz w:val="22"/>
        </w:rPr>
        <w:t>180.000 t</w:t>
      </w:r>
      <w:r>
        <w:rPr>
          <w:rFonts w:ascii="Cambria" w:hAnsi="Cambria" w:cs="Cambria" w:eastAsia="Cambria"/>
          <w:sz w:val="22"/>
        </w:rPr>
        <w:t xml:space="preserve"> de carne de aves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Sostenibilidad, bienestar animal, trazabilidad y resistencia antimicrobiana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Costes de materias primas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Estrategia: certificación, diversificación de mercados, valor añadido, respuesta ante crisis y competencia equilibrada (mismos estándares a las importaciones)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417" w:right="1701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mbria" w:hAnsi="Cambria" w:cs="Cambria" w:eastAsia="Cambria"/>
        <w:color w:val="595959"/>
        <w:sz w:val="18"/>
      </w:rPr>
      <w:fldChar w:fldCharType="begin"/>
    </w:r>
    <w:r>
      <w:rPr>
        <w:rFonts w:ascii="Cambria" w:hAnsi="Cambria" w:cs="Cambria" w:eastAsia="Cambria"/>
        <w:color w:val="595959"/>
        <w:sz w:val="18"/>
      </w:rPr>
      <w:instrText xml:space="preserve">PAGE</w:instrText>
    </w:r>
    <w:r>
      <w:rPr>
        <w:rFonts w:ascii="Cambria" w:hAnsi="Cambria" w:cs="Cambria" w:eastAsia="Cambria"/>
        <w:color w:val="595959"/>
        <w:sz w:val="18"/>
      </w:rP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240"/>
      <w:jc w:val="both"/>
    </w:pPr>
    <w:r>
      <w:rPr>
        <w:rFonts w:ascii="Cambria" w:hAnsi="Cambria" w:cs="Cambria" w:eastAsia="Cambria"/>
        <w:b/>
        <w:i/>
        <w:color w:val="595959"/>
        <w:sz w:val="18"/>
      </w:rPr>
      <w:t>TEMA 6 – Sector cárnico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mbria" w:hAnsi="Cambria" w:eastAsia="Cambria"/>
      <w:sz w:val="22"/>
      <w:lang w:val="es-ES" w:eastAsia="es-ES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/>
      <w:outlineLvl w:val="0"/>
    </w:pPr>
    <w:rPr>
      <w:rFonts w:asciiTheme="majorHAnsi" w:eastAsiaTheme="majorEastAsia" w:hAnsiTheme="majorHAnsi" w:cstheme="majorBidi" w:ascii="Cambria" w:hAnsi="Cambria" w:eastAsia="Cambria"/>
      <w:b/>
      <w:bCs/>
      <w:color w:val="0F476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/>
      <w:outlineLvl w:val="1"/>
    </w:pPr>
    <w:rPr>
      <w:rFonts w:asciiTheme="majorHAnsi" w:eastAsiaTheme="majorEastAsia" w:hAnsiTheme="majorHAnsi" w:cstheme="majorBidi" w:ascii="Cambria" w:hAnsi="Cambria" w:eastAsia="Cambria"/>
      <w:b/>
      <w:bCs/>
      <w:color w:val="0F476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40"/>
      <w:contextualSpacing/>
    </w:pPr>
    <w:rPr>
      <w:rFonts w:ascii="Cambria" w:hAnsi="Cambria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spacing w:after="40"/>
      <w:contextualSpacing/>
    </w:pPr>
    <w:rPr>
      <w:rFonts w:ascii="Cambria" w:hAnsi="Cambria"/>
      <w:sz w:val="22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spacing w:after="40"/>
      <w:contextualSpacing/>
    </w:pPr>
    <w:rPr>
      <w:rFonts w:ascii="Cambria" w:hAnsi="Cambria"/>
      <w:sz w:val="22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TEMA 6 – Sector cárnico</dc:title>
  <dc:subject>Esquema del temario de oposiciones al SOIVRE</dc:subject>
  <dc:creator>Sergio Argudo Santiago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es-ES</dc:language>
</cp:coreProperties>
</file>