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Tratado de Roma (1957)</w:t>
      </w:r>
      <w:r>
        <w:rPr>
          <w:rFonts w:ascii="Cambria" w:hAnsi="Cambria" w:cs="Cambria" w:eastAsia="Cambria"/>
          <w:sz w:val="22"/>
        </w:rPr>
        <w:t>: mercado común con libre circulación de mercancías, servicios, personas y capitales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Suprimidos los aranceles en 1968, el obstáculo principal son las </w:t>
      </w:r>
      <w:r>
        <w:rPr>
          <w:rFonts w:ascii="Cambria" w:hAnsi="Cambria" w:cs="Cambria" w:eastAsia="Cambria"/>
          <w:b/>
          <w:sz w:val="22"/>
        </w:rPr>
        <w:t>barreras técnicas</w:t>
      </w:r>
      <w:r>
        <w:rPr>
          <w:rFonts w:ascii="Cambria" w:hAnsi="Cambria" w:cs="Cambria" w:eastAsia="Cambria"/>
          <w:sz w:val="22"/>
        </w:rPr>
        <w:t xml:space="preserve"> (reglamentaciones y normas nacionales divergentes)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Libro Blanco 1985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Acta Única Europea 1986</w:t>
      </w:r>
      <w:r>
        <w:rPr>
          <w:rFonts w:ascii="Cambria" w:hAnsi="Cambria" w:cs="Cambria" w:eastAsia="Cambria"/>
          <w:sz w:val="22"/>
        </w:rPr>
        <w:t xml:space="preserve">: mercado interior completo el </w:t>
      </w:r>
      <w:r>
        <w:rPr>
          <w:rFonts w:ascii="Cambria" w:hAnsi="Cambria" w:cs="Cambria" w:eastAsia="Cambria"/>
          <w:b/>
          <w:sz w:val="22"/>
        </w:rPr>
        <w:t>31-12-1992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mecanismos complementarios contra las barreras técnicas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Transparencia</w:t>
      </w:r>
      <w:r>
        <w:rPr>
          <w:rFonts w:ascii="Cambria" w:hAnsi="Cambria" w:cs="Cambria" w:eastAsia="Cambria"/>
          <w:sz w:val="22"/>
        </w:rPr>
        <w:t xml:space="preserve">: notificar proyectos de reglamentos técnicos, </w:t>
      </w:r>
      <w:r>
        <w:rPr>
          <w:rFonts w:ascii="Cambria" w:hAnsi="Cambria" w:cs="Cambria" w:eastAsia="Cambria"/>
          <w:b/>
          <w:sz w:val="22"/>
        </w:rPr>
        <w:t>Directiva (UE) 2015/1535</w:t>
      </w:r>
      <w:r>
        <w:rPr>
          <w:rFonts w:ascii="Cambria" w:hAnsi="Cambria" w:cs="Cambria" w:eastAsia="Cambria"/>
          <w:sz w:val="22"/>
        </w:rPr>
        <w:t xml:space="preserve">. Normas voluntarias, </w:t>
      </w:r>
      <w:r>
        <w:rPr>
          <w:rFonts w:ascii="Cambria" w:hAnsi="Cambria" w:cs="Cambria" w:eastAsia="Cambria"/>
          <w:b/>
          <w:sz w:val="22"/>
        </w:rPr>
        <w:t>Reglamento (UE) 1025/2012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Armonización técnica</w:t>
      </w:r>
      <w:r>
        <w:rPr>
          <w:rFonts w:ascii="Cambria" w:hAnsi="Cambria" w:cs="Cambria" w:eastAsia="Cambria"/>
          <w:sz w:val="22"/>
        </w:rPr>
        <w:t>: Nuevo Enfoque, Enfoque Global y Nuevo Marco Legislativo, sobre normalización europea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Reconocimiento mutuo</w:t>
      </w:r>
      <w:r>
        <w:rPr>
          <w:rFonts w:ascii="Cambria" w:hAnsi="Cambria" w:cs="Cambria" w:eastAsia="Cambria"/>
          <w:sz w:val="22"/>
        </w:rPr>
        <w:t xml:space="preserve"> en ámbitos no armonizados, sentencia </w:t>
      </w:r>
      <w:r>
        <w:rPr>
          <w:rFonts w:ascii="Cambria" w:hAnsi="Cambria" w:cs="Cambria" w:eastAsia="Cambria"/>
          <w:b/>
          <w:sz w:val="22"/>
        </w:rPr>
        <w:t>Cassis de Dijon</w:t>
      </w:r>
      <w:r>
        <w:rPr>
          <w:rFonts w:ascii="Cambria" w:hAnsi="Cambria" w:cs="Cambria" w:eastAsia="Cambria"/>
          <w:sz w:val="22"/>
        </w:rPr>
        <w:t xml:space="preserve"> (1979)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DEL ANTIGUO ENFOQUE AL NUEVO ENFOQUE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Antiguo enfoque</w:t>
      </w:r>
      <w:r>
        <w:rPr>
          <w:rFonts w:ascii="Cambria" w:hAnsi="Cambria" w:cs="Cambria" w:eastAsia="Cambria"/>
          <w:sz w:val="22"/>
        </w:rPr>
        <w:t>, lento: directivas muy detalladas y unanimidad en el Consejo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Nueva estrategia de la Comisión con cuatro elementos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Orientaciones de 1984 con </w:t>
      </w:r>
      <w:r>
        <w:rPr>
          <w:rFonts w:ascii="Cambria" w:hAnsi="Cambria" w:cs="Cambria" w:eastAsia="Cambria"/>
          <w:b/>
          <w:sz w:val="22"/>
        </w:rPr>
        <w:t>CEN, CENELEC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ETSI</w:t>
      </w:r>
      <w:r>
        <w:rPr>
          <w:rFonts w:ascii="Cambria" w:hAnsi="Cambria" w:cs="Cambria" w:eastAsia="Cambria"/>
          <w:sz w:val="22"/>
        </w:rPr>
        <w:t xml:space="preserve"> (1988)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Nuevo Enfoque</w:t>
      </w:r>
      <w:r>
        <w:rPr>
          <w:rFonts w:ascii="Cambria" w:hAnsi="Cambria" w:cs="Cambria" w:eastAsia="Cambria"/>
          <w:sz w:val="22"/>
        </w:rPr>
        <w:t xml:space="preserve">: Resolución del Consejo de </w:t>
      </w:r>
      <w:r>
        <w:rPr>
          <w:rFonts w:ascii="Cambria" w:hAnsi="Cambria" w:cs="Cambria" w:eastAsia="Cambria"/>
          <w:b/>
          <w:sz w:val="22"/>
        </w:rPr>
        <w:t>7-5-1985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Mayoría cualificada (Acta Única), hoy </w:t>
      </w:r>
      <w:r>
        <w:rPr>
          <w:rFonts w:ascii="Cambria" w:hAnsi="Cambria" w:cs="Cambria" w:eastAsia="Cambria"/>
          <w:b/>
          <w:sz w:val="22"/>
        </w:rPr>
        <w:t>art. 114 TFUE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Enfoque Global</w:t>
      </w:r>
      <w:r>
        <w:rPr>
          <w:rFonts w:ascii="Cambria" w:hAnsi="Cambria" w:cs="Cambria" w:eastAsia="Cambria"/>
          <w:sz w:val="22"/>
        </w:rPr>
        <w:t xml:space="preserve">: Resolución de </w:t>
      </w:r>
      <w:r>
        <w:rPr>
          <w:rFonts w:ascii="Cambria" w:hAnsi="Cambria" w:cs="Cambria" w:eastAsia="Cambria"/>
          <w:b/>
          <w:sz w:val="22"/>
        </w:rPr>
        <w:t>21-12-1989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 Marco Legislativo</w:t>
      </w:r>
      <w:r>
        <w:rPr>
          <w:rFonts w:ascii="Cambria" w:hAnsi="Cambria" w:cs="Cambria" w:eastAsia="Cambria"/>
          <w:sz w:val="22"/>
        </w:rPr>
        <w:t xml:space="preserve"> en 2008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POLÍTICA DE LA UNIÓN EN MATERIA DE NORMAS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 normalización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</w:t>
      </w:r>
      <w:r>
        <w:rPr>
          <w:rFonts w:ascii="Cambria" w:hAnsi="Cambria" w:cs="Cambria" w:eastAsia="Cambria"/>
          <w:sz w:val="22"/>
        </w:rPr>
        <w:t xml:space="preserve">: especificación técnica de uso común y repetido, </w:t>
      </w:r>
      <w:r>
        <w:rPr>
          <w:rFonts w:ascii="Cambria" w:hAnsi="Cambria" w:cs="Cambria" w:eastAsia="Cambria"/>
          <w:b/>
          <w:sz w:val="22"/>
        </w:rPr>
        <w:t>no obligatoria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1025/2012</w:t>
      </w:r>
      <w:r>
        <w:rPr>
          <w:rFonts w:ascii="Cambria" w:hAnsi="Cambria" w:cs="Cambria" w:eastAsia="Cambria"/>
          <w:sz w:val="22"/>
        </w:rPr>
        <w:t>, aplicable desde el 1-1-2013, reconoce tres organismos europeos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</w:t>
      </w:r>
      <w:r>
        <w:rPr>
          <w:rFonts w:ascii="Cambria" w:hAnsi="Cambria" w:cs="Cambria" w:eastAsia="Cambria"/>
          <w:sz w:val="22"/>
        </w:rPr>
        <w:t xml:space="preserve"> (general), </w:t>
      </w:r>
      <w:r>
        <w:rPr>
          <w:rFonts w:ascii="Cambria" w:hAnsi="Cambria" w:cs="Cambria" w:eastAsia="Cambria"/>
          <w:b/>
          <w:sz w:val="22"/>
        </w:rPr>
        <w:t>CENELEC</w:t>
      </w:r>
      <w:r>
        <w:rPr>
          <w:rFonts w:ascii="Cambria" w:hAnsi="Cambria" w:cs="Cambria" w:eastAsia="Cambria"/>
          <w:sz w:val="22"/>
        </w:rPr>
        <w:t xml:space="preserve"> (electrotécnica), </w:t>
      </w:r>
      <w:r>
        <w:rPr>
          <w:rFonts w:ascii="Cambria" w:hAnsi="Cambria" w:cs="Cambria" w:eastAsia="Cambria"/>
          <w:b/>
          <w:sz w:val="22"/>
        </w:rPr>
        <w:t>ETSI</w:t>
      </w:r>
      <w:r>
        <w:rPr>
          <w:rFonts w:ascii="Cambria" w:hAnsi="Cambria" w:cs="Cambria" w:eastAsia="Cambria"/>
          <w:sz w:val="22"/>
        </w:rPr>
        <w:t xml:space="preserve"> (telecomunicaciones)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Cooperación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CEN con ISO, </w:t>
      </w:r>
      <w:r>
        <w:rPr>
          <w:rFonts w:ascii="Cambria" w:hAnsi="Cambria" w:cs="Cambria" w:eastAsia="Cambria"/>
          <w:b/>
          <w:sz w:val="22"/>
        </w:rPr>
        <w:t>Acuerdo de Viena</w:t>
      </w:r>
      <w:r>
        <w:rPr>
          <w:rFonts w:ascii="Cambria" w:hAnsi="Cambria" w:cs="Cambria" w:eastAsia="Cambria"/>
          <w:sz w:val="22"/>
        </w:rPr>
        <w:t xml:space="preserve"> (1991)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CENELEC con CEI, </w:t>
      </w:r>
      <w:r>
        <w:rPr>
          <w:rFonts w:ascii="Cambria" w:hAnsi="Cambria" w:cs="Cambria" w:eastAsia="Cambria"/>
          <w:b/>
          <w:sz w:val="22"/>
        </w:rPr>
        <w:t>Acuerdo de Frankfurt</w:t>
      </w:r>
      <w:r>
        <w:rPr>
          <w:rFonts w:ascii="Cambria" w:hAnsi="Cambria" w:cs="Cambria" w:eastAsia="Cambria"/>
          <w:sz w:val="22"/>
        </w:rPr>
        <w:t xml:space="preserve"> (2016)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 es el organismo nacional de normalización desde 2017. </w:t>
      </w: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 se dedica a la certificación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Las normas armonizadas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europeas elaboradas a petición de la Comisión para aplicar la legislación de armonización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Proceso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Petición de normalización</w:t>
      </w:r>
      <w:r>
        <w:rPr>
          <w:rFonts w:ascii="Cambria" w:hAnsi="Cambria" w:cs="Cambria" w:eastAsia="Cambria"/>
          <w:sz w:val="22"/>
        </w:rPr>
        <w:t xml:space="preserve"> (antes mandato), previa consulta al comité del art. 22 del Reglamento 1025/2012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2022/2480</w:t>
      </w:r>
      <w:r>
        <w:rPr>
          <w:rFonts w:ascii="Cambria" w:hAnsi="Cambria" w:cs="Cambria" w:eastAsia="Cambria"/>
          <w:sz w:val="22"/>
        </w:rPr>
        <w:t>, desde julio de 2023: ciertas decisiones las adoptan solo los organismos nacionales de normalización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Elaboración</w:t>
      </w:r>
      <w:r>
        <w:rPr>
          <w:rFonts w:ascii="Cambria" w:hAnsi="Cambria" w:cs="Cambria" w:eastAsia="Cambria"/>
          <w:sz w:val="22"/>
        </w:rPr>
        <w:t xml:space="preserve"> con fabricantes, consumidores, sindicatos, pymes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Publicación</w:t>
      </w:r>
      <w:r>
        <w:rPr>
          <w:rFonts w:ascii="Cambria" w:hAnsi="Cambria" w:cs="Cambria" w:eastAsia="Cambria"/>
          <w:sz w:val="22"/>
        </w:rPr>
        <w:t xml:space="preserve"> de la referencia (no del texto) en el DOUE, decisión de ejecución de la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Transposición nacional</w:t>
      </w:r>
      <w:r>
        <w:rPr>
          <w:rFonts w:ascii="Cambria" w:hAnsi="Cambria" w:cs="Cambria" w:eastAsia="Cambria"/>
          <w:sz w:val="22"/>
        </w:rPr>
        <w:t xml:space="preserve"> como norma idéntica (UNE-EN) y retirada de las contradictorias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Objeción formal</w:t>
      </w:r>
      <w:r>
        <w:rPr>
          <w:rFonts w:ascii="Cambria" w:hAnsi="Cambria" w:cs="Cambria" w:eastAsia="Cambria"/>
          <w:sz w:val="22"/>
        </w:rPr>
        <w:t xml:space="preserve"> (art. 11): Estado miembro o Parlamento Europeo. La Comisión mantiene, restringe o retira la referencia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Sin normas armonizadas: </w:t>
      </w:r>
      <w:r>
        <w:rPr>
          <w:rFonts w:ascii="Cambria" w:hAnsi="Cambria" w:cs="Cambria" w:eastAsia="Cambria"/>
          <w:b/>
          <w:sz w:val="22"/>
        </w:rPr>
        <w:t>especificaciones comunes</w:t>
      </w:r>
      <w:r>
        <w:rPr>
          <w:rFonts w:ascii="Cambria" w:hAnsi="Cambria" w:cs="Cambria" w:eastAsia="Cambria"/>
          <w:sz w:val="22"/>
        </w:rPr>
        <w:t xml:space="preserve"> por actos de ejecución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Jurisprudencia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James Elliott</w:t>
      </w:r>
      <w:r>
        <w:rPr>
          <w:rFonts w:ascii="Cambria" w:hAnsi="Cambria" w:cs="Cambria" w:eastAsia="Cambria"/>
          <w:sz w:val="22"/>
        </w:rPr>
        <w:t xml:space="preserve"> (C-613/14, 2016): forman parte del Derecho de la Unión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Public.Resource.Org</w:t>
      </w:r>
      <w:r>
        <w:rPr>
          <w:rFonts w:ascii="Cambria" w:hAnsi="Cambria" w:cs="Cambria" w:eastAsia="Cambria"/>
          <w:sz w:val="22"/>
        </w:rPr>
        <w:t xml:space="preserve"> (C-588/21 P, 5-3-2024): interés público superior en su divulgación, cuestiona el acceso de pago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de Normalización 2022</w:t>
      </w:r>
      <w:r>
        <w:rPr>
          <w:rFonts w:ascii="Cambria" w:hAnsi="Cambria" w:cs="Cambria" w:eastAsia="Cambria"/>
          <w:sz w:val="22"/>
        </w:rPr>
        <w:t xml:space="preserve"> y revisión del Reglamento 1025/2012 prevista en 2026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LAS DIRECTIVAS DE NUEVO ENFOQUE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Legislación limitada a </w:t>
      </w:r>
      <w:r>
        <w:rPr>
          <w:rFonts w:ascii="Cambria" w:hAnsi="Cambria" w:cs="Cambria" w:eastAsia="Cambria"/>
          <w:b/>
          <w:sz w:val="22"/>
        </w:rPr>
        <w:t>requisitos esenciales</w:t>
      </w:r>
      <w:r>
        <w:rPr>
          <w:rFonts w:ascii="Cambria" w:hAnsi="Cambria" w:cs="Cambria" w:eastAsia="Cambria"/>
          <w:sz w:val="22"/>
        </w:rPr>
        <w:t>, especificaciones técnicas en normas armonizadas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Armonización solo de requisitos esenciales de seguridad e intereses públicos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se comercializan productos conformes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Normas armonizadas </w:t>
      </w:r>
      <w:r>
        <w:rPr>
          <w:rFonts w:ascii="Cambria" w:hAnsi="Cambria" w:cs="Cambria" w:eastAsia="Cambria"/>
          <w:b/>
          <w:sz w:val="22"/>
        </w:rPr>
        <w:t>voluntarias</w:t>
      </w:r>
      <w:r>
        <w:rPr>
          <w:rFonts w:ascii="Cambria" w:hAnsi="Cambria" w:cs="Cambria" w:eastAsia="Cambria"/>
          <w:sz w:val="22"/>
        </w:rPr>
        <w:t>: otras especificaciones exigen demostrar la conformidad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Presunción de conformidad</w:t>
      </w:r>
      <w:r>
        <w:rPr>
          <w:rFonts w:ascii="Cambria" w:hAnsi="Cambria" w:cs="Cambria" w:eastAsia="Cambria"/>
          <w:sz w:val="22"/>
        </w:rPr>
        <w:t xml:space="preserve"> con normas armonizadas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Cada acto fija los procedimientos de evaluación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Ámbitos no armonizados: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Elementos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Ámbito</w:t>
      </w:r>
      <w:r>
        <w:rPr>
          <w:rFonts w:ascii="Cambria" w:hAnsi="Cambria" w:cs="Cambria" w:eastAsia="Cambria"/>
          <w:sz w:val="22"/>
        </w:rPr>
        <w:t>: verticales (categoría de producto, juguetes) u horizontales (riesgo común, compatibilidad electromagnética)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Productos que entran por primera vez en el mercado, incluidos usados importados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Modificación sustancial: producto nuevo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Requisitos esenciales</w:t>
      </w:r>
      <w:r>
        <w:rPr>
          <w:rFonts w:ascii="Cambria" w:hAnsi="Cambria" w:cs="Cambria" w:eastAsia="Cambria"/>
          <w:sz w:val="22"/>
        </w:rPr>
        <w:t xml:space="preserve">: en anexos, resultados sin soluciones técnicas, salud, seguridad y a veces medio ambiente. Fabricante hace y documenta </w:t>
      </w:r>
      <w:r>
        <w:rPr>
          <w:rFonts w:ascii="Cambria" w:hAnsi="Cambria" w:cs="Cambria" w:eastAsia="Cambria"/>
          <w:b/>
          <w:sz w:val="22"/>
        </w:rPr>
        <w:t>análisis de 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Evaluación de la conformidad</w:t>
      </w:r>
      <w:r>
        <w:rPr>
          <w:rFonts w:ascii="Cambria" w:hAnsi="Cambria" w:cs="Cambria" w:eastAsia="Cambria"/>
          <w:sz w:val="22"/>
        </w:rPr>
        <w:t xml:space="preserve">: fabricante u </w:t>
      </w:r>
      <w:r>
        <w:rPr>
          <w:rFonts w:ascii="Cambria" w:hAnsi="Cambria" w:cs="Cambria" w:eastAsia="Cambria"/>
          <w:b/>
          <w:sz w:val="22"/>
        </w:rPr>
        <w:t>organismo notificado</w:t>
      </w:r>
      <w:r>
        <w:rPr>
          <w:rFonts w:ascii="Cambria" w:hAnsi="Cambria" w:cs="Cambria" w:eastAsia="Cambria"/>
          <w:sz w:val="22"/>
        </w:rPr>
        <w:t xml:space="preserve"> según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Marcado 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Libre circulación</w:t>
      </w:r>
      <w:r>
        <w:rPr>
          <w:rFonts w:ascii="Cambria" w:hAnsi="Cambria" w:cs="Cambria" w:eastAsia="Cambria"/>
          <w:sz w:val="22"/>
        </w:rPr>
        <w:t>: no se puede prohibir ni restringir productos conformes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Cláusula de salvaguardia</w:t>
      </w:r>
      <w:r>
        <w:rPr>
          <w:rFonts w:ascii="Cambria" w:hAnsi="Cambria" w:cs="Cambria" w:eastAsia="Cambria"/>
          <w:sz w:val="22"/>
        </w:rPr>
        <w:t>: el Estado adopta medidas y las notifica a la Comisión y a los demás Estados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Riesgo grave: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(antes RAPEX), </w:t>
      </w:r>
      <w:r>
        <w:rPr>
          <w:rFonts w:ascii="Cambria" w:hAnsi="Cambria" w:cs="Cambria" w:eastAsia="Cambria"/>
          <w:b/>
          <w:sz w:val="22"/>
        </w:rPr>
        <w:t>Reglamento (UE) 2023/988</w:t>
      </w:r>
      <w:r>
        <w:rPr>
          <w:rFonts w:ascii="Cambria" w:hAnsi="Cambria" w:cs="Cambria" w:eastAsia="Cambria"/>
          <w:sz w:val="22"/>
        </w:rPr>
        <w:t xml:space="preserve"> desde 13-12-2024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Vigilancia del mercado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, art. 25 designa autoridades de control. En España, entre ellas el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Tendencia a sustituir directivas por </w:t>
      </w:r>
      <w:r>
        <w:rPr>
          <w:rFonts w:ascii="Cambria" w:hAnsi="Cambria" w:cs="Cambria" w:eastAsia="Cambria"/>
          <w:b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2023/1230</w:t>
      </w:r>
      <w:r>
        <w:rPr>
          <w:rFonts w:ascii="Cambria" w:hAnsi="Cambria" w:cs="Cambria" w:eastAsia="Cambria"/>
          <w:sz w:val="22"/>
        </w:rPr>
        <w:t xml:space="preserve"> máquinas (desde enero de 2027), </w:t>
      </w:r>
      <w:r>
        <w:rPr>
          <w:rFonts w:ascii="Cambria" w:hAnsi="Cambria" w:cs="Cambria" w:eastAsia="Cambria"/>
          <w:b/>
          <w:sz w:val="22"/>
        </w:rPr>
        <w:t>2024/3110</w:t>
      </w:r>
      <w:r>
        <w:rPr>
          <w:rFonts w:ascii="Cambria" w:hAnsi="Cambria" w:cs="Cambria" w:eastAsia="Cambria"/>
          <w:sz w:val="22"/>
        </w:rPr>
        <w:t xml:space="preserve"> construcción, </w:t>
      </w:r>
      <w:r>
        <w:rPr>
          <w:rFonts w:ascii="Cambria" w:hAnsi="Cambria" w:cs="Cambria" w:eastAsia="Cambria"/>
          <w:b/>
          <w:sz w:val="22"/>
        </w:rPr>
        <w:t>2025/2509</w:t>
      </w:r>
      <w:r>
        <w:rPr>
          <w:rFonts w:ascii="Cambria" w:hAnsi="Cambria" w:cs="Cambria" w:eastAsia="Cambria"/>
          <w:sz w:val="22"/>
        </w:rPr>
        <w:t xml:space="preserve"> juguetes, </w:t>
      </w:r>
      <w:r>
        <w:rPr>
          <w:rFonts w:ascii="Cambria" w:hAnsi="Cambria" w:cs="Cambria" w:eastAsia="Cambria"/>
          <w:b/>
          <w:sz w:val="22"/>
        </w:rPr>
        <w:t>2023/1542</w:t>
      </w:r>
      <w:r>
        <w:rPr>
          <w:rFonts w:ascii="Cambria" w:hAnsi="Cambria" w:cs="Cambria" w:eastAsia="Cambria"/>
          <w:sz w:val="22"/>
        </w:rPr>
        <w:t xml:space="preserve"> baterías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Productos defectuosos: </w:t>
      </w:r>
      <w:r>
        <w:rPr>
          <w:rFonts w:ascii="Cambria" w:hAnsi="Cambria" w:cs="Cambria" w:eastAsia="Cambria"/>
          <w:b/>
          <w:sz w:val="22"/>
        </w:rPr>
        <w:t>Directiva 85/374/CEE</w:t>
      </w:r>
      <w:r>
        <w:rPr>
          <w:rFonts w:ascii="Cambria" w:hAnsi="Cambria" w:cs="Cambria" w:eastAsia="Cambria"/>
          <w:sz w:val="22"/>
        </w:rPr>
        <w:t xml:space="preserve">, derogada por la </w:t>
      </w:r>
      <w:r>
        <w:rPr>
          <w:rFonts w:ascii="Cambria" w:hAnsi="Cambria" w:cs="Cambria" w:eastAsia="Cambria"/>
          <w:b/>
          <w:sz w:val="22"/>
        </w:rPr>
        <w:t>Directiva (UE) 2024/2853</w:t>
      </w:r>
      <w:r>
        <w:rPr>
          <w:rFonts w:ascii="Cambria" w:hAnsi="Cambria" w:cs="Cambria" w:eastAsia="Cambria"/>
          <w:sz w:val="22"/>
        </w:rPr>
        <w:t xml:space="preserve"> desde el 9-12-2026, sigue para productos introducidos antes. Extiende el régimen a software y plataformas en línea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ENFOQUE GLOBAL EN MATERIA DE EVALUACIÓN DE LA CONFORMIDAD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Principios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del Consejo de 21-12-1989</w:t>
      </w:r>
      <w:r>
        <w:rPr>
          <w:rFonts w:ascii="Cambria" w:hAnsi="Cambria" w:cs="Cambria" w:eastAsia="Cambria"/>
          <w:sz w:val="22"/>
        </w:rPr>
        <w:t>: procedimientos homogéneos, fiables y reconocidos en toda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Enfoque coherente basado en </w:t>
      </w:r>
      <w:r>
        <w:rPr>
          <w:rFonts w:ascii="Cambria" w:hAnsi="Cambria" w:cs="Cambria" w:eastAsia="Cambria"/>
          <w:b/>
          <w:sz w:val="22"/>
        </w:rPr>
        <w:t>módulos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Criterios para procedimientos, organismos y marcado 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de gestión de calidad (</w:t>
      </w:r>
      <w:r>
        <w:rPr>
          <w:rFonts w:ascii="Cambria" w:hAnsi="Cambria" w:cs="Cambria" w:eastAsia="Cambria"/>
          <w:b/>
          <w:sz w:val="22"/>
        </w:rPr>
        <w:t>EN ISO 9000</w:t>
      </w:r>
      <w:r>
        <w:rPr>
          <w:rFonts w:ascii="Cambria" w:hAnsi="Cambria" w:cs="Cambria" w:eastAsia="Cambria"/>
          <w:sz w:val="22"/>
        </w:rPr>
        <w:t xml:space="preserve">) y de organismos (familia </w:t>
      </w:r>
      <w:r>
        <w:rPr>
          <w:rFonts w:ascii="Cambria" w:hAnsi="Cambria" w:cs="Cambria" w:eastAsia="Cambria"/>
          <w:b/>
          <w:sz w:val="22"/>
        </w:rPr>
        <w:t>EN ISO/IEC 17000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Fomento de la </w:t>
      </w:r>
      <w:r>
        <w:rPr>
          <w:rFonts w:ascii="Cambria" w:hAnsi="Cambria" w:cs="Cambria" w:eastAsia="Cambria"/>
          <w:b/>
          <w:sz w:val="22"/>
        </w:rPr>
        <w:t>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Acuerdos de reconocimiento mutuo con terceros países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Los módulos de evaluación de la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Catálogo vigente: </w:t>
      </w:r>
      <w:r>
        <w:rPr>
          <w:rFonts w:ascii="Cambria" w:hAnsi="Cambria" w:cs="Cambria" w:eastAsia="Cambria"/>
          <w:b/>
          <w:sz w:val="22"/>
        </w:rPr>
        <w:t>Decisión 768/2008/CE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Criterios: fase (diseño, producción), tipo de evaluación, quién la realiza. </w:t>
      </w:r>
      <w:r>
        <w:rPr>
          <w:rFonts w:ascii="Cambria" w:hAnsi="Cambria" w:cs="Cambria" w:eastAsia="Cambria"/>
          <w:b/>
          <w:sz w:val="22"/>
        </w:rPr>
        <w:t>Proporcionalidad</w:t>
      </w:r>
      <w:r>
        <w:rPr>
          <w:rFonts w:ascii="Cambria" w:hAnsi="Cambria" w:cs="Cambria" w:eastAsia="Cambria"/>
          <w:sz w:val="22"/>
        </w:rPr>
        <w:t xml:space="preserve"> según riesgo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Módulos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</w:t>
      </w:r>
      <w:r>
        <w:rPr>
          <w:rFonts w:ascii="Cambria" w:hAnsi="Cambria" w:cs="Cambria" w:eastAsia="Cambria"/>
          <w:sz w:val="22"/>
        </w:rPr>
        <w:t xml:space="preserve"> control interno de la producción (A1 y A2 con organismo notificado)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 xml:space="preserve"> examen UE de tipo (diseño)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</w:t>
      </w:r>
      <w:r>
        <w:rPr>
          <w:rFonts w:ascii="Cambria" w:hAnsi="Cambria" w:cs="Cambria" w:eastAsia="Cambria"/>
          <w:sz w:val="22"/>
        </w:rPr>
        <w:t xml:space="preserve"> conformidad con el tipo (C1 y C2 con organismo notificado)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</w:t>
      </w:r>
      <w:r>
        <w:rPr>
          <w:rFonts w:ascii="Cambria" w:hAnsi="Cambria" w:cs="Cambria" w:eastAsia="Cambria"/>
          <w:sz w:val="22"/>
        </w:rPr>
        <w:t xml:space="preserve"> aseguramiento de la calidad del proceso de producción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</w:t>
      </w:r>
      <w:r>
        <w:rPr>
          <w:rFonts w:ascii="Cambria" w:hAnsi="Cambria" w:cs="Cambria" w:eastAsia="Cambria"/>
          <w:sz w:val="22"/>
        </w:rPr>
        <w:t xml:space="preserve"> aseguramiento de la calidad del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</w:t>
      </w:r>
      <w:r>
        <w:rPr>
          <w:rFonts w:ascii="Cambria" w:hAnsi="Cambria" w:cs="Cambria" w:eastAsia="Cambria"/>
          <w:sz w:val="22"/>
        </w:rPr>
        <w:t xml:space="preserve"> verificación del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</w:t>
      </w:r>
      <w:r>
        <w:rPr>
          <w:rFonts w:ascii="Cambria" w:hAnsi="Cambria" w:cs="Cambria" w:eastAsia="Cambria"/>
          <w:sz w:val="22"/>
        </w:rPr>
        <w:t xml:space="preserve"> verificación por unidad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</w:t>
      </w:r>
      <w:r>
        <w:rPr>
          <w:rFonts w:ascii="Cambria" w:hAnsi="Cambria" w:cs="Cambria" w:eastAsia="Cambria"/>
          <w:sz w:val="22"/>
        </w:rPr>
        <w:t xml:space="preserve"> pleno aseguramiento de la calidad (H1 con examen del diseño)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 xml:space="preserve"> solo cubre diseño: se combina con C, D, E o 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Completos por sí mismos: A, G, H, D1, E1 y F1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D, E y H se basan en la serie ISO 9000. </w:t>
      </w:r>
      <w:r>
        <w:rPr>
          <w:rFonts w:ascii="Cambria" w:hAnsi="Cambria" w:cs="Cambria" w:eastAsia="Cambria"/>
          <w:b/>
          <w:sz w:val="22"/>
        </w:rPr>
        <w:t>ISO 9001</w:t>
      </w:r>
      <w:r>
        <w:rPr>
          <w:rFonts w:ascii="Cambria" w:hAnsi="Cambria" w:cs="Cambria" w:eastAsia="Cambria"/>
          <w:sz w:val="22"/>
        </w:rPr>
        <w:t xml:space="preserve"> facilita pero no es obligatoria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9001:2026</w:t>
      </w:r>
      <w:r>
        <w:rPr>
          <w:rFonts w:ascii="Cambria" w:hAnsi="Cambria" w:cs="Cambria" w:eastAsia="Cambria"/>
          <w:sz w:val="22"/>
        </w:rPr>
        <w:t xml:space="preserve"> publicada el 16-9-2026, transición de unos tres años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Documentación exigida al fabricante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Documentación técnica</w:t>
      </w:r>
      <w:r>
        <w:rPr>
          <w:rFonts w:ascii="Cambria" w:hAnsi="Cambria" w:cs="Cambria" w:eastAsia="Cambria"/>
          <w:sz w:val="22"/>
        </w:rPr>
        <w:t xml:space="preserve">: diseño, fabricación y funcionamiento, con análisis de riesgos. Conservación </w:t>
      </w:r>
      <w:r>
        <w:rPr>
          <w:rFonts w:ascii="Cambria" w:hAnsi="Cambria" w:cs="Cambria" w:eastAsia="Cambria"/>
          <w:b/>
          <w:sz w:val="22"/>
        </w:rPr>
        <w:t>diez años</w:t>
      </w:r>
      <w:r>
        <w:rPr>
          <w:rFonts w:ascii="Cambria" w:hAnsi="Cambria" w:cs="Cambria" w:eastAsia="Cambria"/>
          <w:sz w:val="22"/>
        </w:rPr>
        <w:t xml:space="preserve"> salvo otro plazo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 UE de conformidad</w:t>
      </w:r>
      <w:r>
        <w:rPr>
          <w:rFonts w:ascii="Cambria" w:hAnsi="Cambria" w:cs="Cambria" w:eastAsia="Cambria"/>
          <w:sz w:val="22"/>
        </w:rPr>
        <w:t>: bajo responsabilidad del fabricante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Identifica producto, fabricante o representante, actos, normas y organismo notificado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Los organismos notificados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Organismo de evaluación comunicado por la </w:t>
      </w:r>
      <w:r>
        <w:rPr>
          <w:rFonts w:ascii="Cambria" w:hAnsi="Cambria" w:cs="Cambria" w:eastAsia="Cambria"/>
          <w:b/>
          <w:sz w:val="22"/>
        </w:rPr>
        <w:t>autoridad notificante</w:t>
      </w:r>
      <w:r>
        <w:rPr>
          <w:rFonts w:ascii="Cambria" w:hAnsi="Cambria" w:cs="Cambria" w:eastAsia="Cambria"/>
          <w:sz w:val="22"/>
        </w:rPr>
        <w:t xml:space="preserve"> a la Comisión y a los Estados, base de datos </w:t>
      </w:r>
      <w:r>
        <w:rPr>
          <w:rFonts w:ascii="Cambria" w:hAnsi="Cambria" w:cs="Cambria" w:eastAsia="Cambria"/>
          <w:b/>
          <w:sz w:val="22"/>
        </w:rPr>
        <w:t>NANDO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confundir: la autoridad es la Administración, el organismo es la entidad pública o privada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Requisitos: competencia técnica, independencia, imparcialidad, integridad, preferentemente por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: un único organismo nacional de acreditación, en España </w:t>
      </w:r>
      <w:r>
        <w:rPr>
          <w:rFonts w:ascii="Cambria" w:hAnsi="Cambria" w:cs="Cambria" w:eastAsia="Cambria"/>
          <w:b/>
          <w:sz w:val="22"/>
        </w:rPr>
        <w:t>ENAC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Coordinación: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en Europa,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(fusión de ILAC e IAF en enero de 2026)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EL MARCADO 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Paso final de la evaluación. </w:t>
      </w:r>
      <w:r>
        <w:rPr>
          <w:rFonts w:ascii="Cambria" w:hAnsi="Cambria" w:cs="Cambria" w:eastAsia="Cambria"/>
          <w:b/>
          <w:sz w:val="22"/>
        </w:rPr>
        <w:t>Art. 30 del Reglamento 765/2008</w:t>
      </w:r>
      <w:r>
        <w:rPr>
          <w:rFonts w:ascii="Cambria" w:hAnsi="Cambria" w:cs="Cambria" w:eastAsia="Cambria"/>
          <w:sz w:val="22"/>
        </w:rPr>
        <w:t>, grafismo en anexo II de la Decisión 768/2008/CE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fabricante declara conformidad con la legislación aplicable y que se han seguido los procedimientos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Lo coloca el fabricante o su representante autorizado. </w:t>
      </w:r>
      <w:r>
        <w:rPr>
          <w:rFonts w:ascii="Cambria" w:hAnsi="Cambria" w:cs="Cambria" w:eastAsia="Cambria"/>
          <w:b/>
          <w:sz w:val="22"/>
        </w:rPr>
        <w:t>No es marca de calidad ni de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Iniciales «CE» de al menos </w:t>
      </w:r>
      <w:r>
        <w:rPr>
          <w:rFonts w:ascii="Cambria" w:hAnsi="Cambria" w:cs="Cambria" w:eastAsia="Cambria"/>
          <w:b/>
          <w:sz w:val="22"/>
        </w:rPr>
        <w:t>5 mm</w:t>
      </w:r>
      <w:r>
        <w:rPr>
          <w:rFonts w:ascii="Cambria" w:hAnsi="Cambria" w:cs="Cambria" w:eastAsia="Cambria"/>
          <w:sz w:val="22"/>
        </w:rPr>
        <w:t>, más número del organismo notificado si interviene en el control de producción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Visible, legible e indeleble, en producto, placa, embalaje o documentos, antes de comercializar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Otras marcas permitidas si no confunden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Libre circulación en el </w:t>
      </w:r>
      <w:r>
        <w:rPr>
          <w:rFonts w:ascii="Cambria" w:hAnsi="Cambria" w:cs="Cambria" w:eastAsia="Cambria"/>
          <w:b/>
          <w:sz w:val="22"/>
        </w:rPr>
        <w:t>EEE</w:t>
      </w:r>
      <w:r>
        <w:rPr>
          <w:rFonts w:ascii="Cambria" w:hAnsi="Cambria" w:cs="Cambria" w:eastAsia="Cambria"/>
          <w:sz w:val="22"/>
        </w:rPr>
        <w:t xml:space="preserve"> (Unión, Noruega, Islandia, Liechtenstein)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Turquía: normativa alineada por la unión aduanera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Reino Unido: marcado </w:t>
      </w:r>
      <w:r>
        <w:rPr>
          <w:rFonts w:ascii="Cambria" w:hAnsi="Cambria" w:cs="Cambria" w:eastAsia="Cambria"/>
          <w:b/>
          <w:sz w:val="22"/>
        </w:rPr>
        <w:t>UKCA</w:t>
      </w:r>
      <w:r>
        <w:rPr>
          <w:rFonts w:ascii="Cambria" w:hAnsi="Cambria" w:cs="Cambria" w:eastAsia="Cambria"/>
          <w:sz w:val="22"/>
        </w:rPr>
        <w:t>, reconocimiento del CE prorrogado indefinidamente en Gran Bretaña. Irlanda del Norte aplica la legislación de la Unión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Los Estados sancionan la colocación indebida y solo restringen productos con CE si demuestran no conformidad o riesgo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EL 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Adoptado en </w:t>
      </w:r>
      <w:r>
        <w:rPr>
          <w:rFonts w:ascii="Cambria" w:hAnsi="Cambria" w:cs="Cambria" w:eastAsia="Cambria"/>
          <w:b/>
          <w:sz w:val="22"/>
        </w:rPr>
        <w:t>2008</w:t>
      </w:r>
      <w:r>
        <w:rPr>
          <w:rFonts w:ascii="Cambria" w:hAnsi="Cambria" w:cs="Cambria" w:eastAsia="Cambria"/>
          <w:sz w:val="22"/>
        </w:rPr>
        <w:t>, tras la Comunicación y Resolución de 2003. Componentes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: acreditación, marcado CE y vigilancia. Vigilancia sustituida desde 16-7-2021 por el </w:t>
      </w:r>
      <w:r>
        <w:rPr>
          <w:rFonts w:ascii="Cambria" w:hAnsi="Cambria" w:cs="Cambria" w:eastAsia="Cambria"/>
          <w:b/>
          <w:sz w:val="22"/>
        </w:rPr>
        <w:t>Reglamento (UE) 2019/1020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: marco común con definiciones, obligaciones, módulos y salvaguardia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 xml:space="preserve"> sobre reconocimiento mutuo, sustituye al 764/2008. Con el 2019/1020 forma el </w:t>
      </w:r>
      <w:r>
        <w:rPr>
          <w:rFonts w:ascii="Cambria" w:hAnsi="Cambria" w:cs="Cambria" w:eastAsia="Cambria"/>
          <w:b/>
          <w:sz w:val="22"/>
        </w:rPr>
        <w:t>paquete de mercancías</w:t>
      </w:r>
      <w:r>
        <w:rPr>
          <w:rFonts w:ascii="Cambria" w:hAnsi="Cambria" w:cs="Cambria" w:eastAsia="Cambria"/>
          <w:sz w:val="22"/>
        </w:rPr>
        <w:t xml:space="preserve"> (diciembre de 2017)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Obligaciones de fabricantes, representantes autorizados, </w:t>
      </w:r>
      <w:r>
        <w:rPr>
          <w:rFonts w:ascii="Cambria" w:hAnsi="Cambria" w:cs="Cambria" w:eastAsia="Cambria"/>
          <w:b/>
          <w:sz w:val="22"/>
        </w:rPr>
        <w:t>importadores</w:t>
      </w:r>
      <w:r>
        <w:rPr>
          <w:rFonts w:ascii="Cambria" w:hAnsi="Cambria" w:cs="Cambria" w:eastAsia="Cambria"/>
          <w:sz w:val="22"/>
        </w:rPr>
        <w:t xml:space="preserve"> y distribuidores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Distinción de autoridades: normativas, notificantes, acreditación, vigilancia del mercado, control de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Vigilancia durante todo el ciclo de vida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Refuerzo de la acreditación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 común, </w:t>
      </w:r>
      <w:r>
        <w:rPr>
          <w:rFonts w:ascii="Cambria" w:hAnsi="Cambria" w:cs="Cambria" w:eastAsia="Cambria"/>
          <w:b/>
          <w:sz w:val="22"/>
        </w:rPr>
        <w:t>Guía azul</w:t>
      </w:r>
      <w:r>
        <w:rPr>
          <w:rFonts w:ascii="Cambria" w:hAnsi="Cambria" w:cs="Cambria" w:eastAsia="Cambria"/>
          <w:sz w:val="22"/>
        </w:rPr>
        <w:t xml:space="preserve"> (última versión 2022)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>: refuerza controles en comercio electrónico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Agente económico responsable en la Unión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Red de la Unión sobre Conformidad de los 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Controles de productos que entran en el mercado, en España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con aduanas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EL PRINCIPIO DE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Tercer mecanismo con armonización y transparencia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Cassis de Dijon</w:t>
      </w:r>
      <w:r>
        <w:rPr>
          <w:rFonts w:ascii="Cambria" w:hAnsi="Cambria" w:cs="Cambria" w:eastAsia="Cambria"/>
          <w:sz w:val="22"/>
        </w:rPr>
        <w:t xml:space="preserve"> (asunto 120/78, 20-2-1979)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Alemania exigía un mínimo del 25 % de alcohol en licores de frutas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Medida de efecto equivalente a restricción cuantitativa (hoy </w:t>
      </w:r>
      <w:r>
        <w:rPr>
          <w:rFonts w:ascii="Cambria" w:hAnsi="Cambria" w:cs="Cambria" w:eastAsia="Cambria"/>
          <w:b/>
          <w:sz w:val="22"/>
        </w:rPr>
        <w:t>art. 34 TFUE</w:t>
      </w:r>
      <w:r>
        <w:rPr>
          <w:rFonts w:ascii="Cambria" w:hAnsi="Cambria" w:cs="Cambria" w:eastAsia="Cambria"/>
          <w:sz w:val="22"/>
        </w:rPr>
        <w:t>), no justificada: bastaba el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 legalmente fabricado y comercializado en un Estado puede comercializarse en los demás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armonización, los Estados regulan en su territorio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Restricciones solo por </w:t>
      </w:r>
      <w:r>
        <w:rPr>
          <w:rFonts w:ascii="Cambria" w:hAnsi="Cambria" w:cs="Cambria" w:eastAsia="Cambria"/>
          <w:b/>
          <w:sz w:val="22"/>
        </w:rPr>
        <w:t>exigencias imperativas</w:t>
      </w:r>
      <w:r>
        <w:rPr>
          <w:rFonts w:ascii="Cambria" w:hAnsi="Cambria" w:cs="Cambria" w:eastAsia="Cambria"/>
          <w:sz w:val="22"/>
        </w:rPr>
        <w:t xml:space="preserve"> de interés general (salud, consumidores, medio ambiente, lealtad comercial) o </w:t>
      </w:r>
      <w:r>
        <w:rPr>
          <w:rFonts w:ascii="Cambria" w:hAnsi="Cambria" w:cs="Cambria" w:eastAsia="Cambria"/>
          <w:b/>
          <w:sz w:val="22"/>
        </w:rPr>
        <w:t>art. 36 TFUE</w:t>
      </w:r>
      <w:r>
        <w:rPr>
          <w:rFonts w:ascii="Cambria" w:hAnsi="Cambria" w:cs="Cambria" w:eastAsia="Cambria"/>
          <w:sz w:val="22"/>
        </w:rPr>
        <w:t>, y proporcionadas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Jurisprudencia posterior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Keck y Mithouard</w:t>
      </w:r>
      <w:r>
        <w:rPr>
          <w:rFonts w:ascii="Cambria" w:hAnsi="Cambria" w:cs="Cambria" w:eastAsia="Cambria"/>
          <w:sz w:val="22"/>
        </w:rPr>
        <w:t xml:space="preserve"> (1993): excluye modalidades de venta aplicadas por igual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Fresas</w:t>
      </w:r>
      <w:r>
        <w:rPr>
          <w:rFonts w:ascii="Cambria" w:hAnsi="Cambria" w:cs="Cambria" w:eastAsia="Cambria"/>
          <w:sz w:val="22"/>
        </w:rPr>
        <w:t xml:space="preserve"> (1997): el Estado incumple si no actúa frente a obstáculos de particulares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Foie gras</w:t>
      </w:r>
      <w:r>
        <w:rPr>
          <w:rFonts w:ascii="Cambria" w:hAnsi="Cambria" w:cs="Cambria" w:eastAsia="Cambria"/>
          <w:sz w:val="22"/>
        </w:rPr>
        <w:t xml:space="preserve"> (1998): cláusula de reconocimiento mutuo en normativas 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, aplicable desde el 19-4-2020, en ámbitos no o parcialmente armonizados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Declaración de reconocimiento mutuo</w:t>
      </w:r>
      <w:r>
        <w:rPr>
          <w:rFonts w:ascii="Cambria" w:hAnsi="Cambria" w:cs="Cambria" w:eastAsia="Cambria"/>
          <w:sz w:val="22"/>
        </w:rPr>
        <w:t xml:space="preserve"> del operador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Decisiones restrictivas motivadas y notificadas por </w:t>
      </w:r>
      <w:r>
        <w:rPr>
          <w:rFonts w:ascii="Cambria" w:hAnsi="Cambria" w:cs="Cambria" w:eastAsia="Cambria"/>
          <w:b/>
          <w:sz w:val="22"/>
        </w:rPr>
        <w:t>ICSMS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SOLVIT</w:t>
      </w:r>
      <w:r>
        <w:rPr>
          <w:rFonts w:ascii="Cambria" w:hAnsi="Cambria" w:cs="Cambria" w:eastAsia="Cambria"/>
          <w:sz w:val="22"/>
        </w:rPr>
        <w:t>, con dictamen de la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Puntos de Contacto de Productos</w:t>
      </w:r>
      <w:r>
        <w:rPr>
          <w:rFonts w:ascii="Cambria" w:hAnsi="Cambria" w:cs="Cambria" w:eastAsia="Cambria"/>
          <w:sz w:val="22"/>
        </w:rPr>
        <w:t>, en España en la Dirección General de Política Comercial y Seguridad Económica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9.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Reparto de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Legislador: requisitos esenciales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Organismos de normalización: normas técnicas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Fabricantes y organismos notificados acreditados: conformidad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Autoridades de vigilancia: control posterior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Digitalización, </w:t>
      </w:r>
      <w:r>
        <w:rPr>
          <w:rFonts w:ascii="Cambria" w:hAnsi="Cambria" w:cs="Cambria" w:eastAsia="Cambria"/>
          <w:b/>
          <w:sz w:val="22"/>
        </w:rPr>
        <w:t>Pasaporte Digital de Producto</w:t>
      </w:r>
      <w:r>
        <w:rPr>
          <w:rFonts w:ascii="Cambria" w:hAnsi="Cambria" w:cs="Cambria" w:eastAsia="Cambria"/>
          <w:sz w:val="22"/>
        </w:rPr>
        <w:t xml:space="preserve"> (primer hito obligatorio en baterías desde el 18-2-2027)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Economía circular y comercio electrónico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Acceso a las normas tras Public.Resource.Org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Europea de Productos</w:t>
      </w:r>
      <w:r>
        <w:rPr>
          <w:rFonts w:ascii="Cambria" w:hAnsi="Cambria" w:cs="Cambria" w:eastAsia="Cambria"/>
          <w:sz w:val="22"/>
        </w:rPr>
        <w:t xml:space="preserve"> (programa 2026), revisará NML, vigilancia del mercado y normalización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autoridad de vigilancia del mercado en frontera exterior y Punto de Contacto de Productos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30 – Política comunitaria en materia de normas y evaluación de la conformidad.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30 – Política comunitaria en materia de normas y evaluación de la conformidad.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