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Reglamentos técnicos</w:t>
      </w:r>
      <w:r>
        <w:rPr>
          <w:rFonts w:ascii="Cambria" w:hAnsi="Cambria" w:cs="Cambria" w:eastAsia="Cambria"/>
          <w:sz w:val="22"/>
        </w:rPr>
        <w:t xml:space="preserve"> (requisitos obligatorios), </w:t>
      </w:r>
      <w:r>
        <w:rPr>
          <w:rFonts w:ascii="Cambria" w:hAnsi="Cambria" w:cs="Cambria" w:eastAsia="Cambria"/>
          <w:b/>
          <w:sz w:val="22"/>
        </w:rPr>
        <w:t>normas</w:t>
      </w:r>
      <w:r>
        <w:rPr>
          <w:rFonts w:ascii="Cambria" w:hAnsi="Cambria" w:cs="Cambria" w:eastAsia="Cambria"/>
          <w:sz w:val="22"/>
        </w:rPr>
        <w:t xml:space="preserve"> (generalmente voluntarias) y </w:t>
      </w:r>
      <w:r>
        <w:rPr>
          <w:rFonts w:ascii="Cambria" w:hAnsi="Cambria" w:cs="Cambria" w:eastAsia="Cambria"/>
          <w:b/>
          <w:sz w:val="22"/>
        </w:rPr>
        <w:t>procedimientos de evaluación de la conformidad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Condicionan el acceso a mercados de 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Varían entre países: adaptar productos y repetir ensayos, inspecciones y certificaciones en cada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Principal </w:t>
      </w:r>
      <w:r>
        <w:rPr>
          <w:rFonts w:ascii="Cambria" w:hAnsi="Cambria" w:cs="Cambria" w:eastAsia="Cambria"/>
          <w:b/>
          <w:sz w:val="22"/>
        </w:rPr>
        <w:t>obstáculo técnico al comercio (OTC)</w:t>
      </w:r>
      <w:r>
        <w:rPr>
          <w:rFonts w:ascii="Cambria" w:hAnsi="Cambria" w:cs="Cambria" w:eastAsia="Cambria"/>
          <w:sz w:val="22"/>
        </w:rPr>
        <w:t>, más relevante al bajar los aranceles (GATT y OMC)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 multilateral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Acuerdo OTC de la OMC</w:t>
      </w:r>
      <w:r>
        <w:rPr>
          <w:rFonts w:ascii="Cambria" w:hAnsi="Cambria" w:cs="Cambria" w:eastAsia="Cambria"/>
          <w:sz w:val="22"/>
        </w:rPr>
        <w:t xml:space="preserve"> (en vigor 1 enero 1995, procede del Código de la Ronda Tokio) y Acuerdo MSF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Principios: no discriminación, necesidad, armonización con normas internacionales, transparencia, equivalencia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Artículo 6</w:t>
      </w:r>
      <w:r>
        <w:rPr>
          <w:rFonts w:ascii="Cambria" w:hAnsi="Cambria" w:cs="Cambria" w:eastAsia="Cambria"/>
          <w:sz w:val="22"/>
        </w:rPr>
        <w:t>: aceptar resultados de evaluación de otros miembros y negociar ARM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Ámbito regional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Armonización: </w:t>
      </w:r>
      <w:r>
        <w:rPr>
          <w:rFonts w:ascii="Cambria" w:hAnsi="Cambria" w:cs="Cambria" w:eastAsia="Cambria"/>
          <w:b/>
          <w:sz w:val="22"/>
        </w:rPr>
        <w:t>Nuevo Enfoque</w:t>
      </w:r>
      <w:r>
        <w:rPr>
          <w:rFonts w:ascii="Cambria" w:hAnsi="Cambria" w:cs="Cambria" w:eastAsia="Cambria"/>
          <w:sz w:val="22"/>
        </w:rPr>
        <w:t xml:space="preserve"> (1985), </w:t>
      </w:r>
      <w:r>
        <w:rPr>
          <w:rFonts w:ascii="Cambria" w:hAnsi="Cambria" w:cs="Cambria" w:eastAsia="Cambria"/>
          <w:b/>
          <w:sz w:val="22"/>
        </w:rPr>
        <w:t>Enfoque Global</w:t>
      </w:r>
      <w:r>
        <w:rPr>
          <w:rFonts w:ascii="Cambria" w:hAnsi="Cambria" w:cs="Cambria" w:eastAsia="Cambria"/>
          <w:sz w:val="22"/>
        </w:rPr>
        <w:t xml:space="preserve"> (1989), </w:t>
      </w:r>
      <w:r>
        <w:rPr>
          <w:rFonts w:ascii="Cambria" w:hAnsi="Cambria" w:cs="Cambria" w:eastAsia="Cambria"/>
          <w:b/>
          <w:sz w:val="22"/>
        </w:rPr>
        <w:t>Nuevo Marco Legislativo</w:t>
      </w:r>
      <w:r>
        <w:rPr>
          <w:rFonts w:ascii="Cambria" w:hAnsi="Cambria" w:cs="Cambria" w:eastAsia="Cambria"/>
          <w:sz w:val="22"/>
        </w:rPr>
        <w:t xml:space="preserve"> (2008)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Transparencia: </w:t>
      </w:r>
      <w:r>
        <w:rPr>
          <w:rFonts w:ascii="Cambria" w:hAnsi="Cambria" w:cs="Cambria" w:eastAsia="Cambria"/>
          <w:b/>
          <w:sz w:val="22"/>
        </w:rPr>
        <w:t>Directiva (UE) 2015/1535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Reconocimiento mutuo: sentencia </w:t>
      </w:r>
      <w:r>
        <w:rPr>
          <w:rFonts w:ascii="Cambria" w:hAnsi="Cambria" w:cs="Cambria" w:eastAsia="Cambria"/>
          <w:b/>
          <w:sz w:val="22"/>
        </w:rPr>
        <w:t>Cassis de Dijon</w:t>
      </w:r>
      <w:r>
        <w:rPr>
          <w:rFonts w:ascii="Cambria" w:hAnsi="Cambria" w:cs="Cambria" w:eastAsia="Cambria"/>
          <w:sz w:val="22"/>
        </w:rPr>
        <w:t xml:space="preserve"> (1979)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Contenido: ARM, acuerdos de la UE y sectores, ACAA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LOS ACUERDOS DE RECONOCIMIENTO MUTUO SOBRE EVALUACIÓN DE LA CONFORMIDAD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Concepto, características y objetivos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Concepto</w:t>
      </w:r>
      <w:r>
        <w:rPr>
          <w:rFonts w:ascii="Cambria" w:hAnsi="Cambria" w:cs="Cambria" w:eastAsia="Cambria"/>
          <w:sz w:val="22"/>
        </w:rPr>
        <w:t>: cada parte acepta la evaluación de la conformidad de los organismos designados de la otra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Conforme a la legislación del país importador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Normalmente en el territorio del exportador y antes de la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Características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Sectores fuertemente regulados por ambas partes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 armonizan</w:t>
      </w:r>
      <w:r>
        <w:rPr>
          <w:rFonts w:ascii="Cambria" w:hAnsi="Cambria" w:cs="Cambria" w:eastAsia="Cambria"/>
          <w:sz w:val="22"/>
        </w:rPr>
        <w:t xml:space="preserve"> legislaciones: se reconocen solo los procedimientos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Confianza en la competencia de los </w:t>
      </w:r>
      <w:r>
        <w:rPr>
          <w:rFonts w:ascii="Cambria" w:hAnsi="Cambria" w:cs="Cambria" w:eastAsia="Cambria"/>
          <w:b/>
          <w:sz w:val="22"/>
        </w:rPr>
        <w:t>CAB</w:t>
      </w:r>
      <w:r>
        <w:rPr>
          <w:rFonts w:ascii="Cambria" w:hAnsi="Cambria" w:cs="Cambria" w:eastAsia="Cambria"/>
          <w:sz w:val="22"/>
        </w:rPr>
        <w:t xml:space="preserve"> (laboratorios, certificación, inspección)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Objetivo</w:t>
      </w:r>
      <w:r>
        <w:rPr>
          <w:rFonts w:ascii="Cambria" w:hAnsi="Cambria" w:cs="Cambria" w:eastAsia="Cambria"/>
          <w:sz w:val="22"/>
        </w:rPr>
        <w:t>: facilitar comercio y acceso a mercados, aceptando informes de ensayo, certificados y marcas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Principios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Facilitar comercio sin reducir protección de salud, seguridad y medio ambiente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Mantener sistemas y requisitos sin armonizar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Partes con sistemas comparables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Reconocer la competencia técnica de la otra parte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Generar confianza y compartir trabajo entre autoridades y organismos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Mejorar la cooperación reglamentaria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Resultado: sin repetir procedimientos en los sectores y alcance cubiertos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Beneficios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Menos costes y plazos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Fin de la doble evaluación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Seguridad jurídica para el exportador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Evaluación en el país exportador, en su entorno y lengua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Más transparencia y cooperación entre reguladores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Bidireccional</w:t>
      </w:r>
      <w:r>
        <w:rPr>
          <w:rFonts w:ascii="Cambria" w:hAnsi="Cambria" w:cs="Cambria" w:eastAsia="Cambria"/>
          <w:sz w:val="22"/>
        </w:rPr>
        <w:t>: mejora el acceso de productos UE a terceros y de estos a la UE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LOS ARM SUSCRITOS POR LA UNIÓN EUROPEA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Base jurídica y negociación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Resolución del Consejo de 21 de diciembre de 1989</w:t>
      </w:r>
      <w:r>
        <w:rPr>
          <w:rFonts w:ascii="Cambria" w:hAnsi="Cambria" w:cs="Cambria" w:eastAsia="Cambria"/>
          <w:sz w:val="22"/>
        </w:rPr>
        <w:t xml:space="preserve"> (Enfoque Global): previó los ARM con terceros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Base jurídica</w:t>
      </w:r>
      <w:r>
        <w:rPr>
          <w:rFonts w:ascii="Cambria" w:hAnsi="Cambria" w:cs="Cambria" w:eastAsia="Cambria"/>
          <w:sz w:val="22"/>
        </w:rPr>
        <w:t xml:space="preserve">: política comercial común, hoy </w:t>
      </w:r>
      <w:r>
        <w:rPr>
          <w:rFonts w:ascii="Cambria" w:hAnsi="Cambria" w:cs="Cambria" w:eastAsia="Cambria"/>
          <w:b/>
          <w:sz w:val="22"/>
        </w:rPr>
        <w:t>artículos 207 y 218 TFUE</w:t>
      </w:r>
      <w:r>
        <w:rPr>
          <w:rFonts w:ascii="Cambria" w:hAnsi="Cambria" w:cs="Cambria" w:eastAsia="Cambria"/>
          <w:sz w:val="22"/>
        </w:rPr>
        <w:t xml:space="preserve"> (antes art. 113 y 133 TCE)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Negociación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</w:t>
      </w:r>
      <w:r>
        <w:rPr>
          <w:rFonts w:ascii="Cambria" w:hAnsi="Cambria" w:cs="Cambria" w:eastAsia="Cambria"/>
          <w:b/>
          <w:sz w:val="22"/>
        </w:rPr>
        <w:t>Consejo</w:t>
      </w:r>
      <w:r>
        <w:rPr>
          <w:rFonts w:ascii="Cambria" w:hAnsi="Cambria" w:cs="Cambria" w:eastAsia="Cambria"/>
          <w:sz w:val="22"/>
        </w:rPr>
        <w:t xml:space="preserve"> autoriza a la </w:t>
      </w:r>
      <w:r>
        <w:rPr>
          <w:rFonts w:ascii="Cambria" w:hAnsi="Cambria" w:cs="Cambria" w:eastAsia="Cambria"/>
          <w:b/>
          <w:sz w:val="22"/>
        </w:rPr>
        <w:t>Comisión</w:t>
      </w:r>
      <w:r>
        <w:rPr>
          <w:rFonts w:ascii="Cambria" w:hAnsi="Cambria" w:cs="Cambria" w:eastAsia="Cambria"/>
          <w:sz w:val="22"/>
        </w:rPr>
        <w:t>. En 1992 incorporó criterios de competencia técnica de los organismos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Grupo técnico del </w:t>
      </w:r>
      <w:r>
        <w:rPr>
          <w:rFonts w:ascii="Cambria" w:hAnsi="Cambria" w:cs="Cambria" w:eastAsia="Cambria"/>
          <w:b/>
          <w:sz w:val="22"/>
        </w:rPr>
        <w:t>Comité de Política Comercial</w:t>
      </w:r>
      <w:r>
        <w:rPr>
          <w:rFonts w:ascii="Cambria" w:hAnsi="Cambria" w:cs="Cambria" w:eastAsia="Cambria"/>
          <w:sz w:val="22"/>
        </w:rPr>
        <w:t xml:space="preserve"> (antes Comité del Artículo 133, hasta Lisboa, 1 diciembre 2009)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Subdirección General de Inspección, Certificación y Asistencia Técnica del Comercio Exterior</w:t>
      </w:r>
      <w:r>
        <w:rPr>
          <w:rFonts w:ascii="Cambria" w:hAnsi="Cambria" w:cs="Cambria" w:eastAsia="Cambria"/>
          <w:sz w:val="22"/>
        </w:rPr>
        <w:t xml:space="preserve"> representa a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rebajar el nivel de protección de la UE y elegir sectores de interés exportador con obstáculos técnicos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Efecto</w:t>
      </w:r>
      <w:r>
        <w:rPr>
          <w:rFonts w:ascii="Cambria" w:hAnsi="Cambria" w:cs="Cambria" w:eastAsia="Cambria"/>
          <w:sz w:val="22"/>
        </w:rPr>
        <w:t>: organismos designados evalúan según requisitos del otro mercado y el certificado da acceso a todo el mercado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Competencia</w:t>
      </w:r>
      <w:r>
        <w:rPr>
          <w:rFonts w:ascii="Cambria" w:hAnsi="Cambria" w:cs="Cambria" w:eastAsia="Cambria"/>
          <w:sz w:val="22"/>
        </w:rPr>
        <w:t xml:space="preserve">: acreditación </w:t>
      </w:r>
      <w:r>
        <w:rPr>
          <w:rFonts w:ascii="Cambria" w:hAnsi="Cambria" w:cs="Cambria" w:eastAsia="Cambria"/>
          <w:b/>
          <w:sz w:val="22"/>
        </w:rPr>
        <w:t>ISO/IEC 17000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17025</w:t>
      </w:r>
      <w:r>
        <w:rPr>
          <w:rFonts w:ascii="Cambria" w:hAnsi="Cambria" w:cs="Cambria" w:eastAsia="Cambria"/>
          <w:sz w:val="22"/>
        </w:rPr>
        <w:t xml:space="preserve"> (laboratorios), </w:t>
      </w:r>
      <w:r>
        <w:rPr>
          <w:rFonts w:ascii="Cambria" w:hAnsi="Cambria" w:cs="Cambria" w:eastAsia="Cambria"/>
          <w:b/>
          <w:sz w:val="22"/>
        </w:rPr>
        <w:t>17065</w:t>
      </w:r>
      <w:r>
        <w:rPr>
          <w:rFonts w:ascii="Cambria" w:hAnsi="Cambria" w:cs="Cambria" w:eastAsia="Cambria"/>
          <w:sz w:val="22"/>
        </w:rPr>
        <w:t xml:space="preserve"> (certificación de productos), </w:t>
      </w:r>
      <w:r>
        <w:rPr>
          <w:rFonts w:ascii="Cambria" w:hAnsi="Cambria" w:cs="Cambria" w:eastAsia="Cambria"/>
          <w:b/>
          <w:sz w:val="22"/>
        </w:rPr>
        <w:t>17020</w:t>
      </w:r>
      <w:r>
        <w:rPr>
          <w:rFonts w:ascii="Cambria" w:hAnsi="Cambria" w:cs="Cambria" w:eastAsia="Cambria"/>
          <w:sz w:val="22"/>
        </w:rPr>
        <w:t xml:space="preserve"> (inspección)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Estructura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marco</w:t>
      </w:r>
      <w:r>
        <w:rPr>
          <w:rFonts w:ascii="Cambria" w:hAnsi="Cambria" w:cs="Cambria" w:eastAsia="Cambria"/>
          <w:sz w:val="22"/>
        </w:rPr>
        <w:t>: principios y procedimientos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Anexos sectoriales</w:t>
      </w:r>
      <w:r>
        <w:rPr>
          <w:rFonts w:ascii="Cambria" w:hAnsi="Cambria" w:cs="Cambria" w:eastAsia="Cambria"/>
          <w:sz w:val="22"/>
        </w:rPr>
        <w:t>: alcance, legislación aplicable, procedimientos y autoridades designantes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Procedimientos comunes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 Mixto</w:t>
      </w:r>
      <w:r>
        <w:rPr>
          <w:rFonts w:ascii="Cambria" w:hAnsi="Cambria" w:cs="Cambria" w:eastAsia="Cambria"/>
          <w:sz w:val="22"/>
        </w:rPr>
        <w:t xml:space="preserve"> de gestión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Designación de organismos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Verificación, suspensión y retirada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Intercambio de información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Suspensión de obligaciones de reconocimiento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Acuerdos suscritos y sectores cubiertos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ARM con </w:t>
      </w:r>
      <w:r>
        <w:rPr>
          <w:rFonts w:ascii="Cambria" w:hAnsi="Cambria" w:cs="Cambria" w:eastAsia="Cambria"/>
          <w:b/>
          <w:sz w:val="22"/>
        </w:rPr>
        <w:t>Estados Unidos, Canadá, Australia, Nueva Zelanda, Suiza, Japón e Israel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Estados Unidos</w:t>
      </w:r>
      <w:r>
        <w:rPr>
          <w:rFonts w:ascii="Cambria" w:hAnsi="Cambria" w:cs="Cambria" w:eastAsia="Cambria"/>
          <w:sz w:val="22"/>
        </w:rPr>
        <w:t xml:space="preserve">: firmado y en vigor en </w:t>
      </w:r>
      <w:r>
        <w:rPr>
          <w:rFonts w:ascii="Cambria" w:hAnsi="Cambria" w:cs="Cambria" w:eastAsia="Cambria"/>
          <w:b/>
          <w:sz w:val="22"/>
        </w:rPr>
        <w:t>1998</w:t>
      </w:r>
      <w:r>
        <w:rPr>
          <w:rFonts w:ascii="Cambria" w:hAnsi="Cambria" w:cs="Cambria" w:eastAsia="Cambria"/>
          <w:sz w:val="22"/>
        </w:rPr>
        <w:t xml:space="preserve"> (1 diciembre)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Operativos solo telecomunicaciones, compatibilidad electromagnética y buenas prácticas de fabricación de medicamentos (ampliado en 2023 a veterinarios)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Seguridad eléctrica, productos sanitarios y embarcaciones de recreo no llegaron a ser operativos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Modificación de 2017: reconocimiento de inspecciones de fábricas de medicamentos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Acuerdo específico de equipos marinos (2004)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Canadá</w:t>
      </w:r>
      <w:r>
        <w:rPr>
          <w:rFonts w:ascii="Cambria" w:hAnsi="Cambria" w:cs="Cambria" w:eastAsia="Cambria"/>
          <w:sz w:val="22"/>
        </w:rPr>
        <w:t>: 1998 (en vigor 1 noviembre)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algunos sectores operativos (telecomunicaciones, embarcaciones de recreo)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Integrado en el </w:t>
      </w:r>
      <w:r>
        <w:rPr>
          <w:rFonts w:ascii="Cambria" w:hAnsi="Cambria" w:cs="Cambria" w:eastAsia="Cambria"/>
          <w:b/>
          <w:sz w:val="22"/>
        </w:rPr>
        <w:t>CETA</w:t>
      </w:r>
      <w:r>
        <w:rPr>
          <w:rFonts w:ascii="Cambria" w:hAnsi="Cambria" w:cs="Cambria" w:eastAsia="Cambria"/>
          <w:sz w:val="22"/>
        </w:rPr>
        <w:t xml:space="preserve"> (aplicación provisional 21 septiembre 2017): protocolo de aceptación mutua de resultados (eléctricos, radio, juguetes, construcción, maquinaria, instrumentos de medida) y protocolo de buenas prácticas de fabricación de medicamentos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Australia</w:t>
      </w:r>
      <w:r>
        <w:rPr>
          <w:rFonts w:ascii="Cambria" w:hAnsi="Cambria" w:cs="Cambria" w:eastAsia="Cambria"/>
          <w:sz w:val="22"/>
        </w:rPr>
        <w:t>: 1998 (en vigor 1 enero 1999, modificado en 2012)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Telecomunicaciones, automóvil, baja tensión, maquinaria, productos sanitarios, equipos a presión, compatibilidad electromagnética, buenas prácticas de fabricación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Nueva Zelanda</w:t>
      </w:r>
      <w:r>
        <w:rPr>
          <w:rFonts w:ascii="Cambria" w:hAnsi="Cambria" w:cs="Cambria" w:eastAsia="Cambria"/>
          <w:sz w:val="22"/>
        </w:rPr>
        <w:t>: mismos sectores que Australia, salvo automóvil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Suiza</w:t>
      </w:r>
      <w:r>
        <w:rPr>
          <w:rFonts w:ascii="Cambria" w:hAnsi="Cambria" w:cs="Cambria" w:eastAsia="Cambria"/>
          <w:sz w:val="22"/>
        </w:rPr>
        <w:t xml:space="preserve">: firmado en </w:t>
      </w:r>
      <w:r>
        <w:rPr>
          <w:rFonts w:ascii="Cambria" w:hAnsi="Cambria" w:cs="Cambria" w:eastAsia="Cambria"/>
          <w:b/>
          <w:sz w:val="22"/>
        </w:rPr>
        <w:t>1999</w:t>
      </w:r>
      <w:r>
        <w:rPr>
          <w:rFonts w:ascii="Cambria" w:hAnsi="Cambria" w:cs="Cambria" w:eastAsia="Cambria"/>
          <w:sz w:val="22"/>
        </w:rPr>
        <w:t xml:space="preserve">, en vigor </w:t>
      </w:r>
      <w:r>
        <w:rPr>
          <w:rFonts w:ascii="Cambria" w:hAnsi="Cambria" w:cs="Cambria" w:eastAsia="Cambria"/>
          <w:b/>
          <w:sz w:val="22"/>
        </w:rPr>
        <w:t>1 junio 2002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«ARM mejorado»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Veinte sectores</w:t>
      </w:r>
      <w:r>
        <w:rPr>
          <w:rFonts w:ascii="Cambria" w:hAnsi="Cambria" w:cs="Cambria" w:eastAsia="Cambria"/>
          <w:sz w:val="22"/>
        </w:rPr>
        <w:t xml:space="preserve"> (maquinaria, EPI, juguetes, productos sanitarios, equipos a presión, aparatos de gas, construcción, ascensores, vehículos, biocidas)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Basado en </w:t>
      </w:r>
      <w:r>
        <w:rPr>
          <w:rFonts w:ascii="Cambria" w:hAnsi="Cambria" w:cs="Cambria" w:eastAsia="Cambria"/>
          <w:b/>
          <w:sz w:val="22"/>
        </w:rPr>
        <w:t>equivalencia</w:t>
      </w:r>
      <w:r>
        <w:rPr>
          <w:rFonts w:ascii="Cambria" w:hAnsi="Cambria" w:cs="Cambria" w:eastAsia="Cambria"/>
          <w:sz w:val="22"/>
        </w:rPr>
        <w:t xml:space="preserve"> de legislaciones: Suiza adapta su normativa y los organismos certifican directamente para el otro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Miembro de pleno derecho de EA, CEN, CENELEC y ETSI, sin unión aduanera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Desde mayo de 2021, capítulo de productos sanitarios sin actualizar por falta de marco institucional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 marzo 2026</w:t>
      </w:r>
      <w:r>
        <w:rPr>
          <w:rFonts w:ascii="Cambria" w:hAnsi="Cambria" w:cs="Cambria" w:eastAsia="Cambria"/>
          <w:sz w:val="22"/>
        </w:rPr>
        <w:t>: Protocolo modificativo e institucional (adaptación dinámica), pendiente de ratificación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Japón</w:t>
      </w:r>
      <w:r>
        <w:rPr>
          <w:rFonts w:ascii="Cambria" w:hAnsi="Cambria" w:cs="Cambria" w:eastAsia="Cambria"/>
          <w:sz w:val="22"/>
        </w:rPr>
        <w:t>: 2001 (en vigor 1 enero 2002)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Productos eléctricos, telecomunicaciones y radio, buenas prácticas de laboratorio y fabricación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Complementado por el </w:t>
      </w:r>
      <w:r>
        <w:rPr>
          <w:rFonts w:ascii="Cambria" w:hAnsi="Cambria" w:cs="Cambria" w:eastAsia="Cambria"/>
          <w:b/>
          <w:sz w:val="22"/>
        </w:rPr>
        <w:t>Acuerdo de Asociación Económica</w:t>
      </w:r>
      <w:r>
        <w:rPr>
          <w:rFonts w:ascii="Cambria" w:hAnsi="Cambria" w:cs="Cambria" w:eastAsia="Cambria"/>
          <w:sz w:val="22"/>
        </w:rPr>
        <w:t xml:space="preserve"> (1 febrero 2019)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Israel</w:t>
      </w:r>
      <w:r>
        <w:rPr>
          <w:rFonts w:ascii="Cambria" w:hAnsi="Cambria" w:cs="Cambria" w:eastAsia="Cambria"/>
          <w:sz w:val="22"/>
        </w:rPr>
        <w:t>: 1999, buenas prácticas de laboratorio de la OCDE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ACAA farmacéutico en vigor desde 2013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ALC de nueva generación</w:t>
      </w:r>
      <w:r>
        <w:rPr>
          <w:rFonts w:ascii="Cambria" w:hAnsi="Cambria" w:cs="Cambria" w:eastAsia="Cambria"/>
          <w:sz w:val="22"/>
        </w:rPr>
        <w:t>: capítulos OTC con evaluación de la conformidad y cooperación reglamentaria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Reino Unido</w:t>
      </w:r>
      <w:r>
        <w:rPr>
          <w:rFonts w:ascii="Cambria" w:hAnsi="Cambria" w:cs="Cambria" w:eastAsia="Cambria"/>
          <w:sz w:val="22"/>
        </w:rPr>
        <w:t>: el Acuerdo de Comercio y Cooperación no incluye reconocimiento mutuo general, salvo inspecciones de buenas prácticas de fabricación de medicamentos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LOS ACUERDOS SOBRE EVALUACIÓN DE LA CONFORMIDAD Y ACEPTACIÓN DE PRODUCTOS INDUSTRIALES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Antecedentes: los PECA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Acuerdos con países de Europa central y oriental en los años noventa, dentro de los Acuerdos Europeos y como preparación a la adhesión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PECA</w:t>
      </w:r>
      <w:r>
        <w:rPr>
          <w:rFonts w:ascii="Cambria" w:hAnsi="Cambria" w:cs="Cambria" w:eastAsia="Cambria"/>
          <w:sz w:val="22"/>
        </w:rPr>
        <w:t>: protocolos, con doble finalidad de mejorar el comercio y facilitar la adopción del acervo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Basados en adopción de la legislación de la UE, país por país y directiva por directiva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Organismos del país podían actuar como organismos notificados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Celebrados con los adheridos en 2004 y con Rumanía y Bulgaria (2007)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Concepto y países destinatarios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ACAA</w:t>
      </w:r>
      <w:r>
        <w:rPr>
          <w:rFonts w:ascii="Cambria" w:hAnsi="Cambria" w:cs="Cambria" w:eastAsia="Cambria"/>
          <w:sz w:val="22"/>
        </w:rPr>
        <w:t xml:space="preserve">: tipo de ARM basado en la </w:t>
      </w:r>
      <w:r>
        <w:rPr>
          <w:rFonts w:ascii="Cambria" w:hAnsi="Cambria" w:cs="Cambria" w:eastAsia="Cambria"/>
          <w:b/>
          <w:sz w:val="22"/>
        </w:rPr>
        <w:t>convergencia</w:t>
      </w:r>
      <w:r>
        <w:rPr>
          <w:rFonts w:ascii="Cambria" w:hAnsi="Cambria" w:cs="Cambria" w:eastAsia="Cambria"/>
          <w:sz w:val="22"/>
        </w:rPr>
        <w:t xml:space="preserve"> de legislación e infraestructura de la calidad con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Productos de sectores cubiertos circulan sin repetir procedimientos, como en el mercado interior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Política Europea de Vecindad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Meridional</w:t>
      </w:r>
      <w:r>
        <w:rPr>
          <w:rFonts w:ascii="Cambria" w:hAnsi="Cambria" w:cs="Cambria" w:eastAsia="Cambria"/>
          <w:sz w:val="22"/>
        </w:rPr>
        <w:t>: Argelia, Egipto, Israel, Jordania, Líbano, Marruecos, Palestina, Túnez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Oriental</w:t>
      </w:r>
      <w:r>
        <w:rPr>
          <w:rFonts w:ascii="Cambria" w:hAnsi="Cambria" w:cs="Cambria" w:eastAsia="Cambria"/>
          <w:sz w:val="22"/>
        </w:rPr>
        <w:t>: Ucrania, Moldavia, Georgia (acuerdos de asociación con zonas de libre comercio de alcance amplio y profundo)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Eliminan OTC por sectores y luego en todos los armonizados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Mejoran la infraestructura de la calidad, extienden el modelo regulador y preparan zonas de libre comercio de productos industriales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Condiciones previas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Acuerdo de asociación o libre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Cooperación reglamentaria reforzada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Transposición de legislación horizontal y sectorial, en particular el </w:t>
      </w:r>
      <w:r>
        <w:rPr>
          <w:rFonts w:ascii="Cambria" w:hAnsi="Cambria" w:cs="Cambria" w:eastAsia="Cambria"/>
          <w:b/>
          <w:sz w:val="22"/>
        </w:rPr>
        <w:t>Nuevo Marco Legislativo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Infraestructura de la calidad adecuada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Normas europeas armonizadas adoptadas y normas nacionales contradictorias retiradas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Evaluación previa por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Estructura: acuerdo marco y anexos sectoriales prioritarios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Requisitos de la infraestructura de la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Normalización</w:t>
      </w:r>
      <w:r>
        <w:rPr>
          <w:rFonts w:ascii="Cambria" w:hAnsi="Cambria" w:cs="Cambria" w:eastAsia="Cambria"/>
          <w:sz w:val="22"/>
        </w:rPr>
        <w:t>: transponer todas las normas europeas armonizadas del sector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Afiliados o asociados de CEN y CENELEC, sin voto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Acreditación</w:t>
      </w:r>
      <w:r>
        <w:rPr>
          <w:rFonts w:ascii="Cambria" w:hAnsi="Cambria" w:cs="Cambria" w:eastAsia="Cambria"/>
          <w:sz w:val="22"/>
        </w:rPr>
        <w:t xml:space="preserve">: acuerdos bilaterales con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para no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Metrología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Convención del Metro y acuerdo de reconocimiento mutuo del </w:t>
      </w:r>
      <w:r>
        <w:rPr>
          <w:rFonts w:ascii="Cambria" w:hAnsi="Cambria" w:cs="Cambria" w:eastAsia="Cambria"/>
          <w:b/>
          <w:sz w:val="22"/>
        </w:rPr>
        <w:t>CIPM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OIML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WELMEC</w:t>
      </w:r>
      <w:r>
        <w:rPr>
          <w:rFonts w:ascii="Cambria" w:hAnsi="Cambria" w:cs="Cambria" w:eastAsia="Cambria"/>
          <w:sz w:val="22"/>
        </w:rPr>
        <w:t xml:space="preserve"> (legal), </w:t>
      </w:r>
      <w:r>
        <w:rPr>
          <w:rFonts w:ascii="Cambria" w:hAnsi="Cambria" w:cs="Cambria" w:eastAsia="Cambria"/>
          <w:b/>
          <w:sz w:val="22"/>
        </w:rPr>
        <w:t>EURAMET</w:t>
      </w:r>
      <w:r>
        <w:rPr>
          <w:rFonts w:ascii="Cambria" w:hAnsi="Cambria" w:cs="Cambria" w:eastAsia="Cambria"/>
          <w:sz w:val="22"/>
        </w:rPr>
        <w:t xml:space="preserve"> (científica)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Organismos notificados</w:t>
      </w:r>
      <w:r>
        <w:rPr>
          <w:rFonts w:ascii="Cambria" w:hAnsi="Cambria" w:cs="Cambria" w:eastAsia="Cambria"/>
          <w:sz w:val="22"/>
        </w:rPr>
        <w:t>: demostrar competencia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Vigilancia del mercado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(UE) 2023/988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Metodología de riesgos de </w:t>
      </w: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 xml:space="preserve"> (antes RAPEX)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Base de datos nacional de productos inseguros, reclamaciones, intercambio con control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Marcado CE</w:t>
      </w:r>
      <w:r>
        <w:rPr>
          <w:rFonts w:ascii="Cambria" w:hAnsi="Cambria" w:cs="Cambria" w:eastAsia="Cambria"/>
          <w:sz w:val="22"/>
        </w:rPr>
        <w:t>: solo tras la entrada en vigor y la aplicación efectiva, no en la transición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Situación actual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Israel</w:t>
      </w:r>
      <w:r>
        <w:rPr>
          <w:rFonts w:ascii="Cambria" w:hAnsi="Cambria" w:cs="Cambria" w:eastAsia="Cambria"/>
          <w:sz w:val="22"/>
        </w:rPr>
        <w:t xml:space="preserve">: único ACAA en vigor, desde </w:t>
      </w:r>
      <w:r>
        <w:rPr>
          <w:rFonts w:ascii="Cambria" w:hAnsi="Cambria" w:cs="Cambria" w:eastAsia="Cambria"/>
          <w:b/>
          <w:sz w:val="22"/>
        </w:rPr>
        <w:t>19 enero 2013</w:t>
      </w:r>
      <w:r>
        <w:rPr>
          <w:rFonts w:ascii="Cambria" w:hAnsi="Cambria" w:cs="Cambria" w:eastAsia="Cambria"/>
          <w:sz w:val="22"/>
        </w:rPr>
        <w:t>, solo buenas prácticas de fabricación farmacéuticas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Ucrania</w:t>
      </w:r>
      <w:r>
        <w:rPr>
          <w:rFonts w:ascii="Cambria" w:hAnsi="Cambria" w:cs="Cambria" w:eastAsia="Cambria"/>
          <w:sz w:val="22"/>
        </w:rPr>
        <w:t>: el más avanzado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Ley de abril de 2026 que armoniza acreditación y reglamentación técnica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Tres sectores iniciales: baja tensión, compatibilidad electromagnética, maquinaria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Candidato desde 2022, ACAA no concluido a octubre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Moldavia y Georgia</w:t>
      </w:r>
      <w:r>
        <w:rPr>
          <w:rFonts w:ascii="Cambria" w:hAnsi="Cambria" w:cs="Cambria" w:eastAsia="Cambria"/>
          <w:sz w:val="22"/>
        </w:rPr>
        <w:t xml:space="preserve"> avanzan en la aproximación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Vecindad meridional</w:t>
      </w:r>
      <w:r>
        <w:rPr>
          <w:rFonts w:ascii="Cambria" w:hAnsi="Cambria" w:cs="Cambria" w:eastAsia="Cambria"/>
          <w:sz w:val="22"/>
        </w:rPr>
        <w:t>: asistencia técnica sin nuevos acuerdos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Mismo objetivo, evitar la duplicación, con enfoques distintos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ARM</w:t>
      </w:r>
      <w:r>
        <w:rPr>
          <w:rFonts w:ascii="Cambria" w:hAnsi="Cambria" w:cs="Cambria" w:eastAsia="Cambria"/>
          <w:sz w:val="22"/>
        </w:rPr>
        <w:t>: sin armonizar legislaciones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ACAA y Suiza</w:t>
      </w:r>
      <w:r>
        <w:rPr>
          <w:rFonts w:ascii="Cambria" w:hAnsi="Cambria" w:cs="Cambria" w:eastAsia="Cambria"/>
          <w:sz w:val="22"/>
        </w:rPr>
        <w:t>: convergencia con el modelo regulador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Alcance limitado de los ARM, con anexos no operativos: la UE integra estas disposiciones en los acuerdos de libre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Infraestructura de la calidad</w:t>
      </w:r>
      <w:r>
        <w:rPr>
          <w:rFonts w:ascii="Cambria" w:hAnsi="Cambria" w:cs="Cambria" w:eastAsia="Cambria"/>
          <w:sz w:val="22"/>
        </w:rPr>
        <w:t>: metrología, normalización, acreditación, evaluación de la conformidad, vigilancia del mercado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(enero 2026, fusión de ILAC e IAF) coordina el reconocimiento entre organismos de acreditación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autoridad designada por España (</w:t>
      </w:r>
      <w:r>
        <w:rPr>
          <w:rFonts w:ascii="Cambria" w:hAnsi="Cambria" w:cs="Cambria" w:eastAsia="Cambria"/>
          <w:b/>
          <w:sz w:val="22"/>
        </w:rPr>
        <w:t>artículo 25 del Reglamento (UE) 2019/1020</w:t>
      </w:r>
      <w:r>
        <w:rPr>
          <w:rFonts w:ascii="Cambria" w:hAnsi="Cambria" w:cs="Cambria" w:eastAsia="Cambria"/>
          <w:sz w:val="22"/>
        </w:rPr>
        <w:t>), acepta certificados de ARM o ACAA dentro del alcance, sin perjuicio de verificar conformidad y seguridad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31 – Acuerdos de reconocimiento mutuo sobre evaluación de la conformidad.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31 – Acuerdos de reconocimiento mutuo sobre evaluación de la conformidad.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