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Integración económica y financiera global: beneficios y </w:t>
      </w:r>
      <w:r>
        <w:rPr>
          <w:rFonts w:ascii="Cambria" w:hAnsi="Cambria" w:cs="Cambria" w:eastAsia="Cambria"/>
          <w:b/>
          <w:sz w:val="22"/>
        </w:rPr>
        <w:t>contagio</w:t>
      </w:r>
      <w:r>
        <w:rPr>
          <w:rFonts w:ascii="Cambria" w:hAnsi="Cambria" w:cs="Cambria" w:eastAsia="Cambria"/>
          <w:sz w:val="22"/>
        </w:rPr>
        <w:t xml:space="preserve"> de crisis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Cooperación económica internacional</w:t>
      </w:r>
      <w:r>
        <w:rPr>
          <w:rFonts w:ascii="Cambria" w:hAnsi="Cambria" w:cs="Cambria" w:eastAsia="Cambria"/>
          <w:sz w:val="22"/>
        </w:rPr>
        <w:t>: reglas e instituciones comunes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FMI</w:t>
      </w:r>
      <w:r>
        <w:rPr>
          <w:rFonts w:ascii="Cambria" w:hAnsi="Cambria" w:cs="Cambria" w:eastAsia="Cambria"/>
          <w:sz w:val="22"/>
        </w:rPr>
        <w:t xml:space="preserve">: pilar de </w:t>
      </w:r>
      <w:r>
        <w:rPr>
          <w:rFonts w:ascii="Cambria" w:hAnsi="Cambria" w:cs="Cambria" w:eastAsia="Cambria"/>
          <w:b/>
          <w:sz w:val="22"/>
        </w:rPr>
        <w:t>Bretton Woods</w:t>
      </w:r>
      <w:r>
        <w:rPr>
          <w:rFonts w:ascii="Cambria" w:hAnsi="Cambria" w:cs="Cambria" w:eastAsia="Cambria"/>
          <w:sz w:val="22"/>
        </w:rPr>
        <w:t xml:space="preserve"> con el Banco Mundial, núcleo de la red mundial de seguridad financiera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ANTECEDENTES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La crisis de entreguerras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Crac de 1929</w:t>
      </w:r>
      <w:r>
        <w:rPr>
          <w:rFonts w:ascii="Cambria" w:hAnsi="Cambria" w:cs="Cambria" w:eastAsia="Cambria"/>
          <w:sz w:val="22"/>
        </w:rPr>
        <w:t>: fin del patrón oro, inestabilidad cambiaria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Devaluaciones competitivas, contingentes, comercio de Estado, </w:t>
      </w:r>
      <w:r>
        <w:rPr>
          <w:rFonts w:ascii="Cambria" w:hAnsi="Cambria" w:cs="Cambria" w:eastAsia="Cambria"/>
          <w:b/>
          <w:sz w:val="22"/>
        </w:rPr>
        <w:t>clearing</w:t>
      </w:r>
      <w:r>
        <w:rPr>
          <w:rFonts w:ascii="Cambria" w:hAnsi="Cambria" w:cs="Cambria" w:eastAsia="Cambria"/>
          <w:sz w:val="22"/>
        </w:rPr>
        <w:t>, trueque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mundial </w:t>
      </w:r>
      <w:r>
        <w:rPr>
          <w:rFonts w:ascii="Cambria" w:hAnsi="Cambria" w:cs="Cambria" w:eastAsia="Cambria"/>
          <w:b/>
          <w:sz w:val="22"/>
        </w:rPr>
        <w:t>-2/3</w:t>
      </w:r>
      <w:r>
        <w:rPr>
          <w:rFonts w:ascii="Cambria" w:hAnsi="Cambria" w:cs="Cambria" w:eastAsia="Cambria"/>
          <w:sz w:val="22"/>
        </w:rPr>
        <w:t xml:space="preserve"> entre 1929 y 1933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La Conferencia de Bretton Woods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Julio de 1944</w:t>
      </w:r>
      <w:r>
        <w:rPr>
          <w:rFonts w:ascii="Cambria" w:hAnsi="Cambria" w:cs="Cambria" w:eastAsia="Cambria"/>
          <w:sz w:val="22"/>
        </w:rPr>
        <w:t>, 44 países: FMI y BIRF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Plan </w:t>
      </w:r>
      <w:r>
        <w:rPr>
          <w:rFonts w:ascii="Cambria" w:hAnsi="Cambria" w:cs="Cambria" w:eastAsia="Cambria"/>
          <w:b/>
          <w:sz w:val="22"/>
        </w:rPr>
        <w:t>Keynes</w:t>
      </w:r>
      <w:r>
        <w:rPr>
          <w:rFonts w:ascii="Cambria" w:hAnsi="Cambria" w:cs="Cambria" w:eastAsia="Cambria"/>
          <w:sz w:val="22"/>
        </w:rPr>
        <w:t xml:space="preserve"> (bancor) frente a plan </w:t>
      </w:r>
      <w:r>
        <w:rPr>
          <w:rFonts w:ascii="Cambria" w:hAnsi="Cambria" w:cs="Cambria" w:eastAsia="Cambria"/>
          <w:b/>
          <w:sz w:val="22"/>
        </w:rPr>
        <w:t>White</w:t>
      </w:r>
      <w:r>
        <w:rPr>
          <w:rFonts w:ascii="Cambria" w:hAnsi="Cambria" w:cs="Cambria" w:eastAsia="Cambria"/>
          <w:sz w:val="22"/>
        </w:rPr>
        <w:t xml:space="preserve"> (prevaleció)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Convenio Constitutivo en vigor </w:t>
      </w:r>
      <w:r>
        <w:rPr>
          <w:rFonts w:ascii="Cambria" w:hAnsi="Cambria" w:cs="Cambria" w:eastAsia="Cambria"/>
          <w:b/>
          <w:sz w:val="22"/>
        </w:rPr>
        <w:t>27 de diciembre de 1945</w:t>
      </w:r>
      <w:r>
        <w:rPr>
          <w:rFonts w:ascii="Cambria" w:hAnsi="Cambria" w:cs="Cambria" w:eastAsia="Cambria"/>
          <w:sz w:val="22"/>
        </w:rPr>
        <w:t xml:space="preserve"> (29 países), operaciones desde </w:t>
      </w:r>
      <w:r>
        <w:rPr>
          <w:rFonts w:ascii="Cambria" w:hAnsi="Cambria" w:cs="Cambria" w:eastAsia="Cambria"/>
          <w:b/>
          <w:sz w:val="22"/>
        </w:rPr>
        <w:t>1 de marzo de 1947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Sede en Washington, organismo especializado de la ONU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191 miembros</w:t>
      </w:r>
      <w:r>
        <w:rPr>
          <w:rFonts w:ascii="Cambria" w:hAnsi="Cambria" w:cs="Cambria" w:eastAsia="Cambria"/>
          <w:sz w:val="22"/>
        </w:rPr>
        <w:t xml:space="preserve"> (Liechtenstein, octubre de 2024). </w:t>
      </w: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15 de septiembre de 1958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Directora gerente </w:t>
      </w:r>
      <w:r>
        <w:rPr>
          <w:rFonts w:ascii="Cambria" w:hAnsi="Cambria" w:cs="Cambria" w:eastAsia="Cambria"/>
          <w:b/>
          <w:sz w:val="22"/>
        </w:rPr>
        <w:t>Kristalina Georgieva</w:t>
      </w:r>
      <w:r>
        <w:rPr>
          <w:rFonts w:ascii="Cambria" w:hAnsi="Cambria" w:cs="Cambria" w:eastAsia="Cambria"/>
          <w:sz w:val="22"/>
        </w:rPr>
        <w:t xml:space="preserve"> (2019, segundo mandato 2024). Dirección europea, Banco Mundial estadounidense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Del sistema de paridades a los tipos de cambio flexibles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1945-1971: paridades fijas pero ajustables respecto al dólar, dólar convertible a </w:t>
      </w:r>
      <w:r>
        <w:rPr>
          <w:rFonts w:ascii="Cambria" w:hAnsi="Cambria" w:cs="Cambria" w:eastAsia="Cambria"/>
          <w:b/>
          <w:sz w:val="22"/>
        </w:rPr>
        <w:t>35 dólares la onza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Cambio solo por «desequilibrio fundamental»: hasta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con consulta, más con conformidad del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1969</w:t>
      </w:r>
      <w:r>
        <w:rPr>
          <w:rFonts w:ascii="Cambria" w:hAnsi="Cambria" w:cs="Cambria" w:eastAsia="Cambria"/>
          <w:sz w:val="22"/>
        </w:rPr>
        <w:t xml:space="preserve">: primera enmienda, creación del </w:t>
      </w:r>
      <w:r>
        <w:rPr>
          <w:rFonts w:ascii="Cambria" w:hAnsi="Cambria" w:cs="Cambria" w:eastAsia="Cambria"/>
          <w:b/>
          <w:sz w:val="22"/>
        </w:rPr>
        <w:t>DEG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15 de agosto de 1971</w:t>
      </w:r>
      <w:r>
        <w:rPr>
          <w:rFonts w:ascii="Cambria" w:hAnsi="Cambria" w:cs="Cambria" w:eastAsia="Cambria"/>
          <w:sz w:val="22"/>
        </w:rPr>
        <w:t>: Nixon suspende la convertibilidad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de Jamaica (1976)</w:t>
      </w:r>
      <w:r>
        <w:rPr>
          <w:rFonts w:ascii="Cambria" w:hAnsi="Cambria" w:cs="Cambria" w:eastAsia="Cambria"/>
          <w:sz w:val="22"/>
        </w:rPr>
        <w:t>: segunda enmienda, en vigor 1978, libertad de régimen cambiario y más supervisión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OBJETIVOS Y FUNCIONES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Objetivos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Artículo I</w:t>
      </w:r>
      <w:r>
        <w:rPr>
          <w:rFonts w:ascii="Cambria" w:hAnsi="Cambria" w:cs="Cambria" w:eastAsia="Cambria"/>
          <w:sz w:val="22"/>
        </w:rPr>
        <w:t xml:space="preserve"> del Convenio: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monetaria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Expansión y crecimiento equilibrado del comercio, empleo e ingreso real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Estabilidad cambiaria, evitar devaluaciones competitivas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Sistema multilateral de pagos, eliminar restricciones cambiarias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 temporales para desequilibrios de balanza de pagos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Propósito principal: </w:t>
      </w:r>
      <w:r>
        <w:rPr>
          <w:rFonts w:ascii="Cambria" w:hAnsi="Cambria" w:cs="Cambria" w:eastAsia="Cambria"/>
          <w:b/>
          <w:sz w:val="22"/>
        </w:rPr>
        <w:t>estabilidad del sistema monetario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2012</w:t>
      </w:r>
      <w:r>
        <w:rPr>
          <w:rFonts w:ascii="Cambria" w:hAnsi="Cambria" w:cs="Cambria" w:eastAsia="Cambria"/>
          <w:sz w:val="22"/>
        </w:rPr>
        <w:t>: Decisión sobre Supervisión Integrada, abarca todas las cuestiones macroeconómicas y financieras con impacto mundial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Funciones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Supervisión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Bilateral: consultas del </w:t>
      </w:r>
      <w:r>
        <w:rPr>
          <w:rFonts w:ascii="Cambria" w:hAnsi="Cambria" w:cs="Cambria" w:eastAsia="Cambria"/>
          <w:b/>
          <w:sz w:val="22"/>
        </w:rPr>
        <w:t>artículo IV</w:t>
      </w:r>
      <w:r>
        <w:rPr>
          <w:rFonts w:ascii="Cambria" w:hAnsi="Cambria" w:cs="Cambria" w:eastAsia="Cambria"/>
          <w:sz w:val="22"/>
        </w:rPr>
        <w:t>, normalmente anuales, examina el Directorio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Multilateral: Perspectivas de la economía mundial, Informe sobre la estabilidad financiera mundial, Monitor Fiscal, Informe sobre el Sector Externo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PESF</w:t>
      </w:r>
      <w:r>
        <w:rPr>
          <w:rFonts w:ascii="Cambria" w:hAnsi="Cambria" w:cs="Cambria" w:eastAsia="Cambria"/>
          <w:sz w:val="22"/>
        </w:rPr>
        <w:t xml:space="preserve"> (1999, con Banco Mundial): obligatorio cada cinco años en sectores financieros sistémicos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Examen Integral de la Supervisión de </w:t>
      </w:r>
      <w:r>
        <w:rPr>
          <w:rFonts w:ascii="Cambria" w:hAnsi="Cambria" w:cs="Cambria" w:eastAsia="Cambria"/>
          <w:b/>
          <w:sz w:val="22"/>
        </w:rPr>
        <w:t>2021</w:t>
      </w:r>
      <w:r>
        <w:rPr>
          <w:rFonts w:ascii="Cambria" w:hAnsi="Cambria" w:cs="Cambria" w:eastAsia="Cambria"/>
          <w:sz w:val="22"/>
        </w:rPr>
        <w:t>: riesgos e incertidumbre, contagio, sostenibilidad incluido clima, asesoramiento integrado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Asistencia financiera</w:t>
      </w:r>
      <w:r>
        <w:rPr>
          <w:rFonts w:ascii="Cambria" w:hAnsi="Cambria" w:cs="Cambria" w:eastAsia="Cambria"/>
          <w:sz w:val="22"/>
        </w:rPr>
        <w:t>: balanza de pagos efectiva o potencial, no financia proyectos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Desarrollo de capacidades</w:t>
      </w:r>
      <w:r>
        <w:rPr>
          <w:rFonts w:ascii="Cambria" w:hAnsi="Cambria" w:cs="Cambria" w:eastAsia="Cambria"/>
          <w:sz w:val="22"/>
        </w:rPr>
        <w:t>: asistencia técnica y formación (tributaria, gasto, monetaria y cambiaria, supervisión financiera, estadísticas), centros regionales y donantes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ESTRUCTURA DE GOBIERNO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Junta de Gobernadores</w:t>
      </w:r>
      <w:r>
        <w:rPr>
          <w:rFonts w:ascii="Cambria" w:hAnsi="Cambria" w:cs="Cambria" w:eastAsia="Cambria"/>
          <w:sz w:val="22"/>
        </w:rPr>
        <w:t>: máximo órgano, un gobernador por país, reunión anual con el Banco Mundial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CMFI</w:t>
      </w:r>
      <w:r>
        <w:rPr>
          <w:rFonts w:ascii="Cambria" w:hAnsi="Cambria" w:cs="Cambria" w:eastAsia="Cambria"/>
          <w:sz w:val="22"/>
        </w:rPr>
        <w:t>: asesor de la Junta, dos reuniones al año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Directorio Ejecutivo</w:t>
      </w:r>
      <w:r>
        <w:rPr>
          <w:rFonts w:ascii="Cambria" w:hAnsi="Cambria" w:cs="Cambria" w:eastAsia="Cambria"/>
          <w:sz w:val="22"/>
        </w:rPr>
        <w:t xml:space="preserve">: gestión diaria, </w:t>
      </w:r>
      <w:r>
        <w:rPr>
          <w:rFonts w:ascii="Cambria" w:hAnsi="Cambria" w:cs="Cambria" w:eastAsia="Cambria"/>
          <w:b/>
          <w:sz w:val="22"/>
        </w:rPr>
        <w:t>25 directores</w:t>
      </w:r>
      <w:r>
        <w:rPr>
          <w:rFonts w:ascii="Cambria" w:hAnsi="Cambria" w:cs="Cambria" w:eastAsia="Cambria"/>
          <w:sz w:val="22"/>
        </w:rPr>
        <w:t xml:space="preserve"> desde noviembre de 2024 (tercera silla África subsahariana), todos elegidos. España en circunscripción con México, Venezuela y centroamericanos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Director gerente</w:t>
      </w:r>
      <w:r>
        <w:rPr>
          <w:rFonts w:ascii="Cambria" w:hAnsi="Cambria" w:cs="Cambria" w:eastAsia="Cambria"/>
          <w:sz w:val="22"/>
        </w:rPr>
        <w:t>: preside el Directorio, dirige el personal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Voto = </w:t>
      </w:r>
      <w:r>
        <w:rPr>
          <w:rFonts w:ascii="Cambria" w:hAnsi="Cambria" w:cs="Cambria" w:eastAsia="Cambria"/>
          <w:b/>
          <w:sz w:val="22"/>
        </w:rPr>
        <w:t>cuota</w:t>
      </w:r>
      <w:r>
        <w:rPr>
          <w:rFonts w:ascii="Cambria" w:hAnsi="Cambria" w:cs="Cambria" w:eastAsia="Cambria"/>
          <w:sz w:val="22"/>
        </w:rPr>
        <w:t xml:space="preserve"> + votos básicos iguales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Decisiones importantes: mayoría del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(algo más del 16 %) con capacidad de bloqueo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LOS RECURSOS DEL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Cuotas, préstamos temporales, fondos fiduciarios para préstamos concesionarios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Las cuotas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Según tamaño económico. Determinan contribución, voto, acceso a financiación y asignaciones de DEG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Ingreso: hasta </w:t>
      </w:r>
      <w:r>
        <w:rPr>
          <w:rFonts w:ascii="Cambria" w:hAnsi="Cambria" w:cs="Cambria" w:eastAsia="Cambria"/>
          <w:b/>
          <w:sz w:val="22"/>
        </w:rPr>
        <w:t>un cuarto</w:t>
      </w:r>
      <w:r>
        <w:rPr>
          <w:rFonts w:ascii="Cambria" w:hAnsi="Cambria" w:cs="Cambria" w:eastAsia="Cambria"/>
          <w:sz w:val="22"/>
        </w:rPr>
        <w:t xml:space="preserve"> en DEG o monedas de amplia aceptación, resto en moneda propia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Fórmula de </w:t>
      </w:r>
      <w:r>
        <w:rPr>
          <w:rFonts w:ascii="Cambria" w:hAnsi="Cambria" w:cs="Cambria" w:eastAsia="Cambria"/>
          <w:b/>
          <w:sz w:val="22"/>
        </w:rPr>
        <w:t>2008</w:t>
      </w:r>
      <w:r>
        <w:rPr>
          <w:rFonts w:ascii="Cambria" w:hAnsi="Cambria" w:cs="Cambria" w:eastAsia="Cambria"/>
          <w:sz w:val="22"/>
        </w:rPr>
        <w:t xml:space="preserve">: PIB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, apertura 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 xml:space="preserve">, variabilidad </w:t>
      </w:r>
      <w:r>
        <w:rPr>
          <w:rFonts w:ascii="Cambria" w:hAnsi="Cambria" w:cs="Cambria" w:eastAsia="Cambria"/>
          <w:b/>
          <w:sz w:val="22"/>
        </w:rPr>
        <w:t>15 %</w:t>
      </w:r>
      <w:r>
        <w:rPr>
          <w:rFonts w:ascii="Cambria" w:hAnsi="Cambria" w:cs="Cambria" w:eastAsia="Cambria"/>
          <w:sz w:val="22"/>
        </w:rPr>
        <w:t xml:space="preserve">, reservas </w:t>
      </w:r>
      <w:r>
        <w:rPr>
          <w:rFonts w:ascii="Cambria" w:hAnsi="Cambria" w:cs="Cambria" w:eastAsia="Cambria"/>
          <w:b/>
          <w:sz w:val="22"/>
        </w:rPr>
        <w:t>5 %</w:t>
      </w:r>
      <w:r>
        <w:rPr>
          <w:rFonts w:ascii="Cambria" w:hAnsi="Cambria" w:cs="Cambria" w:eastAsia="Cambria"/>
          <w:sz w:val="22"/>
        </w:rPr>
        <w:t>. PIB: mercado 60 % y PPA 40 %. Factor de compresión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Revisión al menos cada cinco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14.ª (2010)</w:t>
      </w:r>
      <w:r>
        <w:rPr>
          <w:rFonts w:ascii="Cambria" w:hAnsi="Cambria" w:cs="Cambria" w:eastAsia="Cambria"/>
          <w:sz w:val="22"/>
        </w:rPr>
        <w:t>: duplicó hasta ~</w:t>
      </w:r>
      <w:r>
        <w:rPr>
          <w:rFonts w:ascii="Cambria" w:hAnsi="Cambria" w:cs="Cambria" w:eastAsia="Cambria"/>
          <w:b/>
          <w:sz w:val="22"/>
        </w:rPr>
        <w:t>477.000 millones de DEG</w:t>
      </w:r>
      <w:r>
        <w:rPr>
          <w:rFonts w:ascii="Cambria" w:hAnsi="Cambria" w:cs="Cambria" w:eastAsia="Cambria"/>
          <w:sz w:val="22"/>
        </w:rPr>
        <w:t>, en vigor enero de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16.ª (diciembre de 2023)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+50 %</w:t>
      </w:r>
      <w:r>
        <w:rPr>
          <w:rFonts w:ascii="Cambria" w:hAnsi="Cambria" w:cs="Cambria" w:eastAsia="Cambria"/>
          <w:sz w:val="22"/>
        </w:rPr>
        <w:t xml:space="preserve"> equiproporcional, ~</w:t>
      </w:r>
      <w:r>
        <w:rPr>
          <w:rFonts w:ascii="Cambria" w:hAnsi="Cambria" w:cs="Cambria" w:eastAsia="Cambria"/>
          <w:b/>
          <w:sz w:val="22"/>
        </w:rPr>
        <w:t>715.700 millones de DEG</w:t>
      </w:r>
      <w:r>
        <w:rPr>
          <w:rFonts w:ascii="Cambria" w:hAnsi="Cambria" w:cs="Cambria" w:eastAsia="Cambria"/>
          <w:sz w:val="22"/>
        </w:rPr>
        <w:t xml:space="preserve">. Requiere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 xml:space="preserve"> de las cuotas, sin alcanzar por falta de aprobación del Congreso de EEUU. Plazo prorrogado hasta </w:t>
      </w:r>
      <w:r>
        <w:rPr>
          <w:rFonts w:ascii="Cambria" w:hAnsi="Cambria" w:cs="Cambria" w:eastAsia="Cambria"/>
          <w:b/>
          <w:sz w:val="22"/>
        </w:rPr>
        <w:t>15 de noviembre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17.ª</w:t>
      </w:r>
      <w:r>
        <w:rPr>
          <w:rFonts w:ascii="Cambria" w:hAnsi="Cambria" w:cs="Cambria" w:eastAsia="Cambria"/>
          <w:sz w:val="22"/>
        </w:rPr>
        <w:t xml:space="preserve">: realinear cuotas con el peso de emergentes. </w:t>
      </w:r>
      <w:r>
        <w:rPr>
          <w:rFonts w:ascii="Cambria" w:hAnsi="Cambria" w:cs="Cambria" w:eastAsia="Cambria"/>
          <w:b/>
          <w:sz w:val="22"/>
        </w:rPr>
        <w:t>Principios Rectores de Diriyah</w:t>
      </w:r>
      <w:r>
        <w:rPr>
          <w:rFonts w:ascii="Cambria" w:hAnsi="Cambria" w:cs="Cambria" w:eastAsia="Cambria"/>
          <w:sz w:val="22"/>
        </w:rPr>
        <w:t xml:space="preserve"> (CMFI, abril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Mayor cuota: EEUU, Japón, China. Menor: Tuvalu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Los derechos especiales de giro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Activo de reserva creado en </w:t>
      </w:r>
      <w:r>
        <w:rPr>
          <w:rFonts w:ascii="Cambria" w:hAnsi="Cambria" w:cs="Cambria" w:eastAsia="Cambria"/>
          <w:b/>
          <w:sz w:val="22"/>
        </w:rPr>
        <w:t>1969</w:t>
      </w:r>
      <w:r>
        <w:rPr>
          <w:rFonts w:ascii="Cambria" w:hAnsi="Cambria" w:cs="Cambria" w:eastAsia="Cambria"/>
          <w:sz w:val="22"/>
        </w:rPr>
        <w:t>, valor por cesta de cinco monedas revisada cada cinco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Ponderaciones desde 1 de agosto de 2022: dólar </w:t>
      </w:r>
      <w:r>
        <w:rPr>
          <w:rFonts w:ascii="Cambria" w:hAnsi="Cambria" w:cs="Cambria" w:eastAsia="Cambria"/>
          <w:b/>
          <w:sz w:val="22"/>
        </w:rPr>
        <w:t>43,38 %</w:t>
      </w:r>
      <w:r>
        <w:rPr>
          <w:rFonts w:ascii="Cambria" w:hAnsi="Cambria" w:cs="Cambria" w:eastAsia="Cambria"/>
          <w:sz w:val="22"/>
        </w:rPr>
        <w:t xml:space="preserve">, euro </w:t>
      </w:r>
      <w:r>
        <w:rPr>
          <w:rFonts w:ascii="Cambria" w:hAnsi="Cambria" w:cs="Cambria" w:eastAsia="Cambria"/>
          <w:b/>
          <w:sz w:val="22"/>
        </w:rPr>
        <w:t>29,31 %</w:t>
      </w:r>
      <w:r>
        <w:rPr>
          <w:rFonts w:ascii="Cambria" w:hAnsi="Cambria" w:cs="Cambria" w:eastAsia="Cambria"/>
          <w:sz w:val="22"/>
        </w:rPr>
        <w:t xml:space="preserve">, renminbi </w:t>
      </w:r>
      <w:r>
        <w:rPr>
          <w:rFonts w:ascii="Cambria" w:hAnsi="Cambria" w:cs="Cambria" w:eastAsia="Cambria"/>
          <w:b/>
          <w:sz w:val="22"/>
        </w:rPr>
        <w:t>12,28 %</w:t>
      </w:r>
      <w:r>
        <w:rPr>
          <w:rFonts w:ascii="Cambria" w:hAnsi="Cambria" w:cs="Cambria" w:eastAsia="Cambria"/>
          <w:sz w:val="22"/>
        </w:rPr>
        <w:t xml:space="preserve">, yen </w:t>
      </w:r>
      <w:r>
        <w:rPr>
          <w:rFonts w:ascii="Cambria" w:hAnsi="Cambria" w:cs="Cambria" w:eastAsia="Cambria"/>
          <w:b/>
          <w:sz w:val="22"/>
        </w:rPr>
        <w:t>7,59 %</w:t>
      </w:r>
      <w:r>
        <w:rPr>
          <w:rFonts w:ascii="Cambria" w:hAnsi="Cambria" w:cs="Cambria" w:eastAsia="Cambria"/>
          <w:sz w:val="22"/>
        </w:rPr>
        <w:t xml:space="preserve">, libra </w:t>
      </w:r>
      <w:r>
        <w:rPr>
          <w:rFonts w:ascii="Cambria" w:hAnsi="Cambria" w:cs="Cambria" w:eastAsia="Cambria"/>
          <w:b/>
          <w:sz w:val="22"/>
        </w:rPr>
        <w:t>7,44 %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Renminbi incorporado el 1 de octubre de 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Agosto de 2021</w:t>
      </w:r>
      <w:r>
        <w:rPr>
          <w:rFonts w:ascii="Cambria" w:hAnsi="Cambria" w:cs="Cambria" w:eastAsia="Cambria"/>
          <w:sz w:val="22"/>
        </w:rPr>
        <w:t>: mayor asignación de la historia, ~</w:t>
      </w:r>
      <w:r>
        <w:rPr>
          <w:rFonts w:ascii="Cambria" w:hAnsi="Cambria" w:cs="Cambria" w:eastAsia="Cambria"/>
          <w:b/>
          <w:sz w:val="22"/>
        </w:rPr>
        <w:t>456.000 millones de DEG</w:t>
      </w:r>
      <w:r>
        <w:rPr>
          <w:rFonts w:ascii="Cambria" w:hAnsi="Cambria" w:cs="Cambria" w:eastAsia="Cambria"/>
          <w:sz w:val="22"/>
        </w:rPr>
        <w:t xml:space="preserve"> (~650.000 millones de dólares). Canalización parcial a fondos fiduciarios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Las tenencias de oro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~</w:t>
      </w:r>
      <w:r>
        <w:rPr>
          <w:rFonts w:ascii="Cambria" w:hAnsi="Cambria" w:cs="Cambria" w:eastAsia="Cambria"/>
          <w:b/>
          <w:sz w:val="22"/>
        </w:rPr>
        <w:t>90,5 millones de onzas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2.814 toneladas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Venta o aceptación como pago solo con mayoría del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>, sin comprar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2009-2010: vendió </w:t>
      </w:r>
      <w:r>
        <w:rPr>
          <w:rFonts w:ascii="Cambria" w:hAnsi="Cambria" w:cs="Cambria" w:eastAsia="Cambria"/>
          <w:b/>
          <w:sz w:val="22"/>
        </w:rPr>
        <w:t>403,3 toneladas</w:t>
      </w:r>
      <w:r>
        <w:rPr>
          <w:rFonts w:ascii="Cambria" w:hAnsi="Cambria" w:cs="Cambria" w:eastAsia="Cambria"/>
          <w:sz w:val="22"/>
        </w:rPr>
        <w:t>, dotación del modelo de ingresos y subvención de préstamos a países de bajo ingreso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Los recursos tomados en préstamo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NAP</w:t>
      </w:r>
      <w:r>
        <w:rPr>
          <w:rFonts w:ascii="Cambria" w:hAnsi="Cambria" w:cs="Cambria" w:eastAsia="Cambria"/>
          <w:sz w:val="22"/>
        </w:rPr>
        <w:t>: segunda línea de defensa, ~</w:t>
      </w:r>
      <w:r>
        <w:rPr>
          <w:rFonts w:ascii="Cambria" w:hAnsi="Cambria" w:cs="Cambria" w:eastAsia="Cambria"/>
          <w:b/>
          <w:sz w:val="22"/>
        </w:rPr>
        <w:t>360.000 millones de DEG</w:t>
      </w:r>
      <w:r>
        <w:rPr>
          <w:rFonts w:ascii="Cambria" w:hAnsi="Cambria" w:cs="Cambria" w:eastAsia="Cambria"/>
          <w:sz w:val="22"/>
        </w:rPr>
        <w:t xml:space="preserve"> tras duplicarse en 2021, renovados desde 2026. Se reducirán al entrar en vigor la 16.ª Revisión. AGP expiraron en 2018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Acuerdos bilaterales</w:t>
      </w:r>
      <w:r>
        <w:rPr>
          <w:rFonts w:ascii="Cambria" w:hAnsi="Cambria" w:cs="Cambria" w:eastAsia="Cambria"/>
          <w:sz w:val="22"/>
        </w:rPr>
        <w:t>: tercera línea, temporal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Capacidad total ~</w:t>
      </w:r>
      <w:r>
        <w:rPr>
          <w:rFonts w:ascii="Cambria" w:hAnsi="Cambria" w:cs="Cambria" w:eastAsia="Cambria"/>
          <w:b/>
          <w:sz w:val="22"/>
        </w:rPr>
        <w:t>1 billón de dólares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Monedas utilizables: miembros con balanza de pagos sólida, selecciona el Directorio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LA CONDICIONALIDAD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Compromiso de ajustar la política económica. Dos fines: resolver la balanza de pagos sin medidas perjudiciales y </w:t>
      </w:r>
      <w:r>
        <w:rPr>
          <w:rFonts w:ascii="Cambria" w:hAnsi="Cambria" w:cs="Cambria" w:eastAsia="Cambria"/>
          <w:b/>
          <w:sz w:val="22"/>
        </w:rPr>
        <w:t>salvaguardar los recursos</w:t>
      </w:r>
      <w:r>
        <w:rPr>
          <w:rFonts w:ascii="Cambria" w:hAnsi="Cambria" w:cs="Cambria" w:eastAsia="Cambria"/>
          <w:sz w:val="22"/>
        </w:rPr>
        <w:t xml:space="preserve"> del FMI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Diseño de los programas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Responsabilidad del país: </w:t>
      </w:r>
      <w:r>
        <w:rPr>
          <w:rFonts w:ascii="Cambria" w:hAnsi="Cambria" w:cs="Cambria" w:eastAsia="Cambria"/>
          <w:b/>
          <w:sz w:val="22"/>
        </w:rPr>
        <w:t>carta de intención</w:t>
      </w:r>
      <w:r>
        <w:rPr>
          <w:rFonts w:ascii="Cambria" w:hAnsi="Cambria" w:cs="Cambria" w:eastAsia="Cambria"/>
          <w:sz w:val="22"/>
        </w:rPr>
        <w:t xml:space="preserve"> y memorando de políticas económicas y financieras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Condiciones </w:t>
      </w:r>
      <w:r>
        <w:rPr>
          <w:rFonts w:ascii="Cambria" w:hAnsi="Cambria" w:cs="Cambria" w:eastAsia="Cambria"/>
          <w:b/>
          <w:sz w:val="22"/>
        </w:rPr>
        <w:t>esenciales</w:t>
      </w:r>
      <w:r>
        <w:rPr>
          <w:rFonts w:ascii="Cambria" w:hAnsi="Cambria" w:cs="Cambria" w:eastAsia="Cambria"/>
          <w:sz w:val="22"/>
        </w:rPr>
        <w:t xml:space="preserve"> desde el punto de vista macroeconómico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Objetivo: viabilidad de la balanza de pagos, estabilidad, crecimiento y, en bajo ingreso, reducción de la pobreza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Seguimiento del cumplimiento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Desembolso por </w:t>
      </w:r>
      <w:r>
        <w:rPr>
          <w:rFonts w:ascii="Cambria" w:hAnsi="Cambria" w:cs="Cambria" w:eastAsia="Cambria"/>
          <w:b/>
          <w:sz w:val="22"/>
        </w:rPr>
        <w:t>tramos</w:t>
      </w:r>
      <w:r>
        <w:rPr>
          <w:rFonts w:ascii="Cambria" w:hAnsi="Cambria" w:cs="Cambria" w:eastAsia="Cambria"/>
          <w:sz w:val="22"/>
        </w:rPr>
        <w:t>, tras aprobación o revisiones del Directorio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Medidas previas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 cuantitativos de ejecución</w:t>
      </w:r>
      <w:r>
        <w:rPr>
          <w:rFonts w:ascii="Cambria" w:hAnsi="Cambria" w:cs="Cambria" w:eastAsia="Cambria"/>
          <w:sz w:val="22"/>
        </w:rPr>
        <w:t xml:space="preserve"> (déficit, reservas)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Metas indicativas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referencias estructurales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Evolución de la condicionalidad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Hasta los años ochenta, macroeconómica. Después, más condiciones estructurales y críticas por intrusismo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Directrices de </w:t>
      </w:r>
      <w:r>
        <w:rPr>
          <w:rFonts w:ascii="Cambria" w:hAnsi="Cambria" w:cs="Cambria" w:eastAsia="Cambria"/>
          <w:b/>
          <w:sz w:val="22"/>
        </w:rPr>
        <w:t>2002</w:t>
      </w:r>
      <w:r>
        <w:rPr>
          <w:rFonts w:ascii="Cambria" w:hAnsi="Cambria" w:cs="Cambria" w:eastAsia="Cambria"/>
          <w:sz w:val="22"/>
        </w:rPr>
        <w:t xml:space="preserve"> y reforma de </w:t>
      </w:r>
      <w:r>
        <w:rPr>
          <w:rFonts w:ascii="Cambria" w:hAnsi="Cambria" w:cs="Cambria" w:eastAsia="Cambria"/>
          <w:b/>
          <w:sz w:val="22"/>
        </w:rPr>
        <w:t>2009</w:t>
      </w:r>
      <w:r>
        <w:rPr>
          <w:rFonts w:ascii="Cambria" w:hAnsi="Cambria" w:cs="Cambria" w:eastAsia="Cambria"/>
          <w:sz w:val="22"/>
        </w:rPr>
        <w:t xml:space="preserve">: sin criterios de ejecución estructurales, condicionalidad </w:t>
      </w:r>
      <w:r>
        <w:rPr>
          <w:rFonts w:ascii="Cambria" w:hAnsi="Cambria" w:cs="Cambria" w:eastAsia="Cambria"/>
          <w:b/>
          <w:sz w:val="22"/>
        </w:rPr>
        <w:t>ex ante</w:t>
      </w:r>
      <w:r>
        <w:rPr>
          <w:rFonts w:ascii="Cambria" w:hAnsi="Cambria" w:cs="Cambria" w:eastAsia="Cambria"/>
          <w:sz w:val="22"/>
        </w:rPr>
        <w:t xml:space="preserve"> (LCF)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Exámenes </w:t>
      </w:r>
      <w:r>
        <w:rPr>
          <w:rFonts w:ascii="Cambria" w:hAnsi="Cambria" w:cs="Cambria" w:eastAsia="Cambria"/>
          <w:b/>
          <w:sz w:val="22"/>
        </w:rPr>
        <w:t>2011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2018</w:t>
      </w:r>
      <w:r>
        <w:rPr>
          <w:rFonts w:ascii="Cambria" w:hAnsi="Cambria" w:cs="Cambria" w:eastAsia="Cambria"/>
          <w:sz w:val="22"/>
        </w:rPr>
        <w:t>: focalización, riesgos, aspectos sociales, identificación del país, transparencia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LOS SERVICIOS FINANCIEROS DEL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Préstamos concentrados en crisis. Crédito vigente a comienzos de 2026 sobre todo en </w:t>
      </w:r>
      <w:r>
        <w:rPr>
          <w:rFonts w:ascii="Cambria" w:hAnsi="Cambria" w:cs="Cambria" w:eastAsia="Cambria"/>
          <w:b/>
          <w:sz w:val="22"/>
        </w:rPr>
        <w:t>Argentina</w:t>
      </w:r>
      <w:r>
        <w:rPr>
          <w:rFonts w:ascii="Cambria" w:hAnsi="Cambria" w:cs="Cambria" w:eastAsia="Cambria"/>
          <w:sz w:val="22"/>
        </w:rPr>
        <w:t xml:space="preserve"> (&gt;41.000 millones de DEG), después Ucrania, Egipto y Pakistán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Préstamos no concesionarios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Cuenta de Recursos Generales, </w:t>
      </w:r>
      <w:r>
        <w:rPr>
          <w:rFonts w:ascii="Cambria" w:hAnsi="Cambria" w:cs="Cambria" w:eastAsia="Cambria"/>
          <w:b/>
          <w:sz w:val="22"/>
        </w:rPr>
        <w:t>tasa de cargos</w:t>
      </w:r>
      <w:r>
        <w:rPr>
          <w:rFonts w:ascii="Cambria" w:hAnsi="Cambria" w:cs="Cambria" w:eastAsia="Cambria"/>
          <w:sz w:val="22"/>
        </w:rPr>
        <w:t xml:space="preserve"> (tipo del DEG + margen) y sobretasas por cuantía y duración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Octubre de 2024</w:t>
      </w:r>
      <w:r>
        <w:rPr>
          <w:rFonts w:ascii="Cambria" w:hAnsi="Cambria" w:cs="Cambria" w:eastAsia="Cambria"/>
          <w:sz w:val="22"/>
        </w:rPr>
        <w:t xml:space="preserve">: margen 100 a </w:t>
      </w:r>
      <w:r>
        <w:rPr>
          <w:rFonts w:ascii="Cambria" w:hAnsi="Cambria" w:cs="Cambria" w:eastAsia="Cambria"/>
          <w:b/>
          <w:sz w:val="22"/>
        </w:rPr>
        <w:t>60 pb</w:t>
      </w:r>
      <w:r>
        <w:rPr>
          <w:rFonts w:ascii="Cambria" w:hAnsi="Cambria" w:cs="Cambria" w:eastAsia="Cambria"/>
          <w:sz w:val="22"/>
        </w:rPr>
        <w:t xml:space="preserve">, umbral de sobretasa por cuantía 187,5 % a </w:t>
      </w:r>
      <w:r>
        <w:rPr>
          <w:rFonts w:ascii="Cambria" w:hAnsi="Cambria" w:cs="Cambria" w:eastAsia="Cambria"/>
          <w:b/>
          <w:sz w:val="22"/>
        </w:rPr>
        <w:t>300 %</w:t>
      </w:r>
      <w:r>
        <w:rPr>
          <w:rFonts w:ascii="Cambria" w:hAnsi="Cambria" w:cs="Cambria" w:eastAsia="Cambria"/>
          <w:sz w:val="22"/>
        </w:rPr>
        <w:t xml:space="preserve"> de la cuota, sobretasa por duración 100 a </w:t>
      </w:r>
      <w:r>
        <w:rPr>
          <w:rFonts w:ascii="Cambria" w:hAnsi="Cambria" w:cs="Cambria" w:eastAsia="Cambria"/>
          <w:b/>
          <w:sz w:val="22"/>
        </w:rPr>
        <w:t>75 pb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Acceso como múltiplo de la cuota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Instrumentos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Stand-By</w:t>
      </w:r>
      <w:r>
        <w:rPr>
          <w:rFonts w:ascii="Cambria" w:hAnsi="Cambria" w:cs="Cambria" w:eastAsia="Cambria"/>
          <w:sz w:val="22"/>
        </w:rPr>
        <w:t>: corto plazo, 12-36 meses, reembolso 3¼-5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SAF</w:t>
      </w:r>
      <w:r>
        <w:rPr>
          <w:rFonts w:ascii="Cambria" w:hAnsi="Cambria" w:cs="Cambria" w:eastAsia="Cambria"/>
          <w:sz w:val="22"/>
        </w:rPr>
        <w:t xml:space="preserve"> (1974): medio y largo plazo, hasta 4 años, reembolso 4½-10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LCF</w:t>
      </w:r>
      <w:r>
        <w:rPr>
          <w:rFonts w:ascii="Cambria" w:hAnsi="Cambria" w:cs="Cambria" w:eastAsia="Cambria"/>
          <w:sz w:val="22"/>
        </w:rPr>
        <w:t>: fundamentos muy sólidos, ex ante, 1-2 años, sin límite de acceso, precautoria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LPL</w:t>
      </w:r>
      <w:r>
        <w:rPr>
          <w:rFonts w:ascii="Cambria" w:hAnsi="Cambria" w:cs="Cambria" w:eastAsia="Cambria"/>
          <w:sz w:val="22"/>
        </w:rPr>
        <w:t>: fundamentos sólidos con vulnerabilidades moderadas, ex ante y ex post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LLCP</w:t>
      </w:r>
      <w:r>
        <w:rPr>
          <w:rFonts w:ascii="Cambria" w:hAnsi="Cambria" w:cs="Cambria" w:eastAsia="Cambria"/>
          <w:sz w:val="22"/>
        </w:rPr>
        <w:t xml:space="preserve"> (2020): liquidez a corto plazo, un único acuerdo (Chile, 2022), terminará en </w:t>
      </w:r>
      <w:r>
        <w:rPr>
          <w:rFonts w:ascii="Cambria" w:hAnsi="Cambria" w:cs="Cambria" w:eastAsia="Cambria"/>
          <w:b/>
          <w:sz w:val="22"/>
        </w:rPr>
        <w:t>abril de 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IFR</w:t>
      </w:r>
      <w:r>
        <w:rPr>
          <w:rFonts w:ascii="Cambria" w:hAnsi="Cambria" w:cs="Cambria" w:eastAsia="Cambria"/>
          <w:sz w:val="22"/>
        </w:rPr>
        <w:t>: emergencia, condicionalidad limitada, condiciones del Stand-By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7.2. Préstamos concesionarios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FFCLP</w:t>
      </w:r>
      <w:r>
        <w:rPr>
          <w:rFonts w:ascii="Cambria" w:hAnsi="Cambria" w:cs="Cambria" w:eastAsia="Cambria"/>
          <w:sz w:val="22"/>
        </w:rPr>
        <w:t>, tipos nulos o muy reducidos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SCA</w:t>
      </w:r>
      <w:r>
        <w:rPr>
          <w:rFonts w:ascii="Cambria" w:hAnsi="Cambria" w:cs="Cambria" w:eastAsia="Cambria"/>
          <w:sz w:val="22"/>
        </w:rPr>
        <w:t>: medio plazo, gracia 5½ años, vencimiento 10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SCS</w:t>
      </w:r>
      <w:r>
        <w:rPr>
          <w:rFonts w:ascii="Cambria" w:hAnsi="Cambria" w:cs="Cambria" w:eastAsia="Cambria"/>
          <w:sz w:val="22"/>
        </w:rPr>
        <w:t>: corto plazo, gracia 4 años, vencimiento 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SCR</w:t>
      </w:r>
      <w:r>
        <w:rPr>
          <w:rFonts w:ascii="Cambria" w:hAnsi="Cambria" w:cs="Cambria" w:eastAsia="Cambria"/>
          <w:sz w:val="22"/>
        </w:rPr>
        <w:t>: rápido, gracia 5½ años, vencimiento 10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Reforma de </w:t>
      </w:r>
      <w:r>
        <w:rPr>
          <w:rFonts w:ascii="Cambria" w:hAnsi="Cambria" w:cs="Cambria" w:eastAsia="Cambria"/>
          <w:b/>
          <w:sz w:val="22"/>
        </w:rPr>
        <w:t>octubre de 2024</w:t>
      </w:r>
      <w:r>
        <w:rPr>
          <w:rFonts w:ascii="Cambria" w:hAnsi="Cambria" w:cs="Cambria" w:eastAsia="Cambria"/>
          <w:sz w:val="22"/>
        </w:rPr>
        <w:t>: ~</w:t>
      </w:r>
      <w:r>
        <w:rPr>
          <w:rFonts w:ascii="Cambria" w:hAnsi="Cambria" w:cs="Cambria" w:eastAsia="Cambria"/>
          <w:b/>
          <w:sz w:val="22"/>
        </w:rPr>
        <w:t>2.700 millones de DEG</w:t>
      </w:r>
      <w:r>
        <w:rPr>
          <w:rFonts w:ascii="Cambria" w:hAnsi="Cambria" w:cs="Cambria" w:eastAsia="Cambria"/>
          <w:sz w:val="22"/>
        </w:rPr>
        <w:t xml:space="preserve"> anuales autosostenibles, tipos escalonados y financiación sin intereses para los más pobres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7.3. El Fondo Fiduciario para la Resiliencia y la Sostenibilidad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FFRS</w:t>
      </w:r>
      <w:r>
        <w:rPr>
          <w:rFonts w:ascii="Cambria" w:hAnsi="Cambria" w:cs="Cambria" w:eastAsia="Cambria"/>
          <w:sz w:val="22"/>
        </w:rPr>
        <w:t xml:space="preserve">, operativo en </w:t>
      </w:r>
      <w:r>
        <w:rPr>
          <w:rFonts w:ascii="Cambria" w:hAnsi="Cambria" w:cs="Cambria" w:eastAsia="Cambria"/>
          <w:b/>
          <w:sz w:val="22"/>
        </w:rPr>
        <w:t>octubre de 2022</w:t>
      </w:r>
      <w:r>
        <w:rPr>
          <w:rFonts w:ascii="Cambria" w:hAnsi="Cambria" w:cs="Cambria" w:eastAsia="Cambria"/>
          <w:sz w:val="22"/>
        </w:rPr>
        <w:t>, financiado con DEG de países avanzados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Servicio de Resiliencia y Sostenibilidad: vencimiento </w:t>
      </w:r>
      <w:r>
        <w:rPr>
          <w:rFonts w:ascii="Cambria" w:hAnsi="Cambria" w:cs="Cambria" w:eastAsia="Cambria"/>
          <w:b/>
          <w:sz w:val="22"/>
        </w:rPr>
        <w:t>20 años</w:t>
      </w:r>
      <w:r>
        <w:rPr>
          <w:rFonts w:ascii="Cambria" w:hAnsi="Cambria" w:cs="Cambria" w:eastAsia="Cambria"/>
          <w:sz w:val="22"/>
        </w:rPr>
        <w:t xml:space="preserve">, gracia </w:t>
      </w:r>
      <w:r>
        <w:rPr>
          <w:rFonts w:ascii="Cambria" w:hAnsi="Cambria" w:cs="Cambria" w:eastAsia="Cambria"/>
          <w:b/>
          <w:sz w:val="22"/>
        </w:rPr>
        <w:t>10 años y medio</w:t>
      </w:r>
      <w:r>
        <w:rPr>
          <w:rFonts w:ascii="Cambria" w:hAnsi="Cambria" w:cs="Cambria" w:eastAsia="Cambria"/>
          <w:sz w:val="22"/>
        </w:rPr>
        <w:t>, ingreso bajo y mediano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Cambio climático y pandemias, complementa siempre un programa ordinario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LAS REFORMAS DEL FMI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Praga 2000</w:t>
      </w:r>
      <w:r>
        <w:rPr>
          <w:rFonts w:ascii="Cambria" w:hAnsi="Cambria" w:cs="Cambria" w:eastAsia="Cambria"/>
          <w:sz w:val="22"/>
        </w:rPr>
        <w:t>: seis ámbitos (supervisión y prevención, capacidad institucional, préstamos, resolución de crisis, bajo ingreso, apertura)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Reforma de 2010</w:t>
      </w:r>
      <w:r>
        <w:rPr>
          <w:rFonts w:ascii="Cambria" w:hAnsi="Cambria" w:cs="Cambria" w:eastAsia="Cambria"/>
          <w:sz w:val="22"/>
        </w:rPr>
        <w:t xml:space="preserve"> (en vigor enero de 2016)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Cuotas duplicadas (~477.000 millones de DEG)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del </w:t>
      </w:r>
      <w:r>
        <w:rPr>
          <w:rFonts w:ascii="Cambria" w:hAnsi="Cambria" w:cs="Cambria" w:eastAsia="Cambria"/>
          <w:b/>
          <w:sz w:val="22"/>
        </w:rPr>
        <w:t>6 %</w:t>
      </w:r>
      <w:r>
        <w:rPr>
          <w:rFonts w:ascii="Cambria" w:hAnsi="Cambria" w:cs="Cambria" w:eastAsia="Cambria"/>
          <w:sz w:val="22"/>
        </w:rPr>
        <w:t xml:space="preserve"> de cuotas hacia emergentes, ~80 % cedido por avanzadas y petroleros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BRIC</w:t>
      </w:r>
      <w:r>
        <w:rPr>
          <w:rFonts w:ascii="Cambria" w:hAnsi="Cambria" w:cs="Cambria" w:eastAsia="Cambria"/>
          <w:sz w:val="22"/>
        </w:rPr>
        <w:t xml:space="preserve"> entre los diez mayores accionistas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Todos los directores elegidos, Europa cede dos sillas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Posteriores: instrumentos en la pandemia, asignación de DEG de 2021, FFRS, sobretasas, reforma del FFCLP, fin de la LLCP en 2027, Principios de Diriyah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Deuda soberana: </w:t>
      </w:r>
      <w:r>
        <w:rPr>
          <w:rFonts w:ascii="Cambria" w:hAnsi="Cambria" w:cs="Cambria" w:eastAsia="Cambria"/>
          <w:b/>
          <w:sz w:val="22"/>
        </w:rPr>
        <w:t>Marco Común del G20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Mesa Redonda Mundial sobre Deuda Soberana</w:t>
      </w:r>
      <w:r>
        <w:rPr>
          <w:rFonts w:ascii="Cambria" w:hAnsi="Cambria" w:cs="Cambria" w:eastAsia="Cambria"/>
          <w:sz w:val="22"/>
        </w:rPr>
        <w:t xml:space="preserve"> (2023)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9. EL FMI Y LOS OBJETIVOS DE DESARROLLO SOSTENIBLE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ODM</w:t>
      </w:r>
      <w:r>
        <w:rPr>
          <w:rFonts w:ascii="Cambria" w:hAnsi="Cambria" w:cs="Cambria" w:eastAsia="Cambria"/>
          <w:sz w:val="22"/>
        </w:rPr>
        <w:t xml:space="preserve"> (Cumbre del Milenio, 2000): ocho objetivos para 2015. </w:t>
      </w:r>
      <w:r>
        <w:rPr>
          <w:rFonts w:ascii="Cambria" w:hAnsi="Cambria" w:cs="Cambria" w:eastAsia="Cambria"/>
          <w:b/>
          <w:sz w:val="22"/>
        </w:rPr>
        <w:t>Consenso de Monterrey</w:t>
      </w:r>
      <w:r>
        <w:rPr>
          <w:rFonts w:ascii="Cambria" w:hAnsi="Cambria" w:cs="Cambria" w:eastAsia="Cambria"/>
          <w:sz w:val="22"/>
        </w:rPr>
        <w:t xml:space="preserve"> (2002)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Informe de seguimiento 2013: pobreza extrema reducida a la mitad en 2010, avances desiguales por regiones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Agenda 2030</w:t>
      </w:r>
      <w:r>
        <w:rPr>
          <w:rFonts w:ascii="Cambria" w:hAnsi="Cambria" w:cs="Cambria" w:eastAsia="Cambria"/>
          <w:sz w:val="22"/>
        </w:rPr>
        <w:t xml:space="preserve"> (septiembre de 2015): </w:t>
      </w:r>
      <w:r>
        <w:rPr>
          <w:rFonts w:ascii="Cambria" w:hAnsi="Cambria" w:cs="Cambria" w:eastAsia="Cambria"/>
          <w:b/>
          <w:sz w:val="22"/>
        </w:rPr>
        <w:t>17 ODS</w:t>
      </w:r>
      <w:r>
        <w:rPr>
          <w:rFonts w:ascii="Cambria" w:hAnsi="Cambria" w:cs="Cambria" w:eastAsia="Cambria"/>
          <w:sz w:val="22"/>
        </w:rPr>
        <w:t xml:space="preserve">. Financiación: Adís Abeba (julio de 2015), </w:t>
      </w:r>
      <w:r>
        <w:rPr>
          <w:rFonts w:ascii="Cambria" w:hAnsi="Cambria" w:cs="Cambria" w:eastAsia="Cambria"/>
          <w:b/>
          <w:sz w:val="22"/>
        </w:rPr>
        <w:t>Acuerdo de París</w:t>
      </w:r>
      <w:r>
        <w:rPr>
          <w:rFonts w:ascii="Cambria" w:hAnsi="Cambria" w:cs="Cambria" w:eastAsia="Cambria"/>
          <w:sz w:val="22"/>
        </w:rPr>
        <w:t xml:space="preserve"> (diciembre de 2015), </w:t>
      </w:r>
      <w:r>
        <w:rPr>
          <w:rFonts w:ascii="Cambria" w:hAnsi="Cambria" w:cs="Cambria" w:eastAsia="Cambria"/>
          <w:b/>
          <w:sz w:val="22"/>
        </w:rPr>
        <w:t>Compromiso de Sevilla</w:t>
      </w:r>
      <w:r>
        <w:rPr>
          <w:rFonts w:ascii="Cambria" w:hAnsi="Cambria" w:cs="Cambria" w:eastAsia="Cambria"/>
          <w:sz w:val="22"/>
        </w:rPr>
        <w:t xml:space="preserve"> (2025)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Contribución del FMI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Financiación concesional más accesible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Ingresos internos, deuda y política fiscal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Clima, inclusión financiera, género y desigualdad en supervisión y financiación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10.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funciones: </w:t>
      </w:r>
      <w:r>
        <w:rPr>
          <w:rFonts w:ascii="Cambria" w:hAnsi="Cambria" w:cs="Cambria" w:eastAsia="Cambria"/>
          <w:b/>
          <w:sz w:val="22"/>
        </w:rPr>
        <w:t>supervisión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asistencia financiera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desarrollo de capacidades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Retos: completar la </w:t>
      </w:r>
      <w:r>
        <w:rPr>
          <w:rFonts w:ascii="Cambria" w:hAnsi="Cambria" w:cs="Cambria" w:eastAsia="Cambria"/>
          <w:b/>
          <w:sz w:val="22"/>
        </w:rPr>
        <w:t>16.ª Revisión</w:t>
      </w:r>
      <w:r>
        <w:rPr>
          <w:rFonts w:ascii="Cambria" w:hAnsi="Cambria" w:cs="Cambria" w:eastAsia="Cambria"/>
          <w:sz w:val="22"/>
        </w:rPr>
        <w:t xml:space="preserve"> (plazo prorrogado en 2026) y reformar cuotas y gobernanza en la </w:t>
      </w:r>
      <w:r>
        <w:rPr>
          <w:rFonts w:ascii="Cambria" w:hAnsi="Cambria" w:cs="Cambria" w:eastAsia="Cambria"/>
          <w:b/>
          <w:sz w:val="22"/>
        </w:rPr>
        <w:t>17.ª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Perfeccionar la condicionalidad y colaborar con el Banco Mundial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35 – La cooperación económica internacional: el FMI.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35 – La cooperación económica internacional: el FMI.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