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26C94" w14:textId="77777777" w:rsidR="00F028D0" w:rsidRPr="00514D34" w:rsidRDefault="00F028D0" w:rsidP="00514D34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14D34">
        <w:rPr>
          <w:rFonts w:ascii="Cambria" w:hAnsi="Cambria"/>
          <w:b/>
          <w:bCs/>
          <w:color w:val="auto"/>
          <w:sz w:val="28"/>
          <w:szCs w:val="28"/>
        </w:rPr>
        <w:t>1. El Comercio Internacional: Marco General y Magnitudes</w:t>
      </w:r>
    </w:p>
    <w:p w14:paraId="6F2C318B" w14:textId="77777777" w:rsidR="00F028D0" w:rsidRPr="00514D34" w:rsidRDefault="00F028D0" w:rsidP="00514D34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14D34">
        <w:rPr>
          <w:rFonts w:ascii="Cambria" w:hAnsi="Cambria"/>
          <w:b/>
          <w:bCs/>
          <w:color w:val="auto"/>
          <w:sz w:val="24"/>
          <w:szCs w:val="24"/>
        </w:rPr>
        <w:t>1.1. Principales Magnitudes: Evolución de los Flujos Comerciales</w:t>
      </w:r>
    </w:p>
    <w:p w14:paraId="0D75A227" w14:textId="77777777" w:rsidR="00F028D0" w:rsidRPr="00514D34" w:rsidRDefault="00F028D0" w:rsidP="00514D34">
      <w:pPr>
        <w:numPr>
          <w:ilvl w:val="0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Evolución histórica:</w:t>
      </w:r>
    </w:p>
    <w:p w14:paraId="74DA60FF" w14:textId="77777777" w:rsidR="00F028D0" w:rsidRPr="00514D34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proofErr w:type="gramStart"/>
      <w:r w:rsidRPr="00514D34">
        <w:rPr>
          <w:rFonts w:ascii="Cambria" w:hAnsi="Cambria"/>
        </w:rPr>
        <w:t>Post-Guerra</w:t>
      </w:r>
      <w:proofErr w:type="gramEnd"/>
      <w:r w:rsidRPr="00514D34">
        <w:rPr>
          <w:rFonts w:ascii="Cambria" w:hAnsi="Cambria"/>
        </w:rPr>
        <w:t xml:space="preserve"> Mundial (Sistema Bretton-Woods): Fuerte impulso a la cooperación (GATT 1947, BM, FMI) y surgimiento de 3 grandes bloques (Occidental, órbita soviética, Resto de países).</w:t>
      </w:r>
    </w:p>
    <w:p w14:paraId="78C804A1" w14:textId="77777777" w:rsidR="00F028D0" w:rsidRPr="00514D34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Crisis del petróleo (1973, 1979): Trasvase de flujos financieros, pero el comercio mantuvo el impulso. Inclusión de bienes y servicios.</w:t>
      </w:r>
    </w:p>
    <w:p w14:paraId="2C668734" w14:textId="77777777" w:rsidR="00F028D0" w:rsidRPr="00514D34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 xml:space="preserve">Actualidad (desde finales de los 80): Crecimiento continuado de flujos comerciales (excepto en 2009, 2015-2016 y 2019) favorecido por el fin de la Guerra Fría, la incorporación de países </w:t>
      </w:r>
      <w:proofErr w:type="spellStart"/>
      <w:r w:rsidRPr="00514D34">
        <w:rPr>
          <w:rFonts w:ascii="Cambria" w:hAnsi="Cambria"/>
        </w:rPr>
        <w:t>ex-soviéticos</w:t>
      </w:r>
      <w:proofErr w:type="spellEnd"/>
      <w:r w:rsidRPr="00514D34">
        <w:rPr>
          <w:rFonts w:ascii="Cambria" w:hAnsi="Cambria"/>
        </w:rPr>
        <w:t xml:space="preserve"> y las rondas del GATT/OMC.</w:t>
      </w:r>
    </w:p>
    <w:p w14:paraId="745DB353" w14:textId="77777777" w:rsidR="00F028D0" w:rsidRPr="00514D34" w:rsidRDefault="00F028D0" w:rsidP="00514D34">
      <w:pPr>
        <w:numPr>
          <w:ilvl w:val="0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Rasgos característicos del comercio mundial actual:</w:t>
      </w:r>
    </w:p>
    <w:p w14:paraId="49B56466" w14:textId="77777777" w:rsidR="00F028D0" w:rsidRPr="00846AC7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r w:rsidRPr="00846AC7">
        <w:rPr>
          <w:rFonts w:ascii="Cambria" w:hAnsi="Cambria"/>
        </w:rPr>
        <w:t>Internacionalización y tendencia al librecambio.</w:t>
      </w:r>
    </w:p>
    <w:p w14:paraId="4ED97099" w14:textId="77777777" w:rsidR="00F028D0" w:rsidRPr="00846AC7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r w:rsidRPr="00846AC7">
        <w:rPr>
          <w:rFonts w:ascii="Cambria" w:hAnsi="Cambria"/>
        </w:rPr>
        <w:t>Coexistencia de librecambio con neoproteccionismo (mecanismos indirectos: OTC, medidas sanitarias).</w:t>
      </w:r>
    </w:p>
    <w:p w14:paraId="06C18BBB" w14:textId="77777777" w:rsidR="00F028D0" w:rsidRPr="00846AC7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r w:rsidRPr="00846AC7">
        <w:rPr>
          <w:rFonts w:ascii="Cambria" w:hAnsi="Cambria"/>
        </w:rPr>
        <w:t>Tendencia a la regionalización (integración regional).</w:t>
      </w:r>
    </w:p>
    <w:p w14:paraId="4A1A38DC" w14:textId="77777777" w:rsidR="00F028D0" w:rsidRPr="00846AC7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r w:rsidRPr="00846AC7">
        <w:rPr>
          <w:rFonts w:ascii="Cambria" w:hAnsi="Cambria"/>
        </w:rPr>
        <w:t>Creciente peso del comercio de servicios y de productos de alta tecnología.</w:t>
      </w:r>
    </w:p>
    <w:p w14:paraId="6B04250A" w14:textId="77777777" w:rsidR="00F028D0" w:rsidRPr="00846AC7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r w:rsidRPr="00846AC7">
        <w:rPr>
          <w:rFonts w:ascii="Cambria" w:hAnsi="Cambria"/>
        </w:rPr>
        <w:t xml:space="preserve">Fuerte crecimiento del comercio </w:t>
      </w:r>
      <w:proofErr w:type="spellStart"/>
      <w:r w:rsidRPr="00846AC7">
        <w:rPr>
          <w:rFonts w:ascii="Cambria" w:hAnsi="Cambria"/>
        </w:rPr>
        <w:t>intra-industrial</w:t>
      </w:r>
      <w:proofErr w:type="spellEnd"/>
      <w:r w:rsidRPr="00846AC7">
        <w:rPr>
          <w:rFonts w:ascii="Cambria" w:hAnsi="Cambria"/>
        </w:rPr>
        <w:t xml:space="preserve"> (productos similares) e </w:t>
      </w:r>
      <w:proofErr w:type="spellStart"/>
      <w:r w:rsidRPr="00846AC7">
        <w:rPr>
          <w:rFonts w:ascii="Cambria" w:hAnsi="Cambria"/>
        </w:rPr>
        <w:t>intra-empresa</w:t>
      </w:r>
      <w:proofErr w:type="spellEnd"/>
      <w:r w:rsidRPr="00846AC7">
        <w:rPr>
          <w:rFonts w:ascii="Cambria" w:hAnsi="Cambria"/>
        </w:rPr>
        <w:t xml:space="preserve"> (dentro de la multinacional).</w:t>
      </w:r>
    </w:p>
    <w:p w14:paraId="190DD7A9" w14:textId="591D6BF3" w:rsidR="00F028D0" w:rsidRPr="00514D34" w:rsidRDefault="00F028D0" w:rsidP="00514D34">
      <w:pPr>
        <w:numPr>
          <w:ilvl w:val="0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Composición del comercio mundial (</w:t>
      </w:r>
      <w:r w:rsidR="008F6B63">
        <w:rPr>
          <w:rFonts w:ascii="Cambria" w:hAnsi="Cambria"/>
          <w:b/>
          <w:bCs/>
        </w:rPr>
        <w:t xml:space="preserve">Examen Estadístico del Comercio Mundial </w:t>
      </w:r>
      <w:r w:rsidRPr="00514D34">
        <w:rPr>
          <w:rFonts w:ascii="Cambria" w:hAnsi="Cambria"/>
          <w:b/>
          <w:bCs/>
        </w:rPr>
        <w:t>OMC 2023):</w:t>
      </w:r>
    </w:p>
    <w:p w14:paraId="43173EF1" w14:textId="77777777" w:rsidR="00F028D0" w:rsidRPr="00514D34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Mercancías (78,06% del total):</w:t>
      </w:r>
      <w:r w:rsidRPr="00514D34">
        <w:rPr>
          <w:rFonts w:ascii="Cambria" w:hAnsi="Cambria"/>
        </w:rPr>
        <w:t xml:space="preserve"> Liderazgo de la UE (exportador/importador), seguida por China, </w:t>
      </w:r>
      <w:proofErr w:type="gramStart"/>
      <w:r w:rsidRPr="00514D34">
        <w:rPr>
          <w:rFonts w:ascii="Cambria" w:hAnsi="Cambria"/>
        </w:rPr>
        <w:t>EEUU</w:t>
      </w:r>
      <w:proofErr w:type="gramEnd"/>
      <w:r w:rsidRPr="00514D34">
        <w:rPr>
          <w:rFonts w:ascii="Cambria" w:hAnsi="Cambria"/>
        </w:rPr>
        <w:t xml:space="preserve"> y Japón. La composición principal es:</w:t>
      </w:r>
    </w:p>
    <w:p w14:paraId="6DD68781" w14:textId="77777777" w:rsidR="00F028D0" w:rsidRPr="00514D34" w:rsidRDefault="00F028D0" w:rsidP="00514D34">
      <w:pPr>
        <w:numPr>
          <w:ilvl w:val="2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Manufacturas (63%, mitad son bienes de equipo).</w:t>
      </w:r>
    </w:p>
    <w:p w14:paraId="5A19458A" w14:textId="77777777" w:rsidR="00F028D0" w:rsidRPr="00514D34" w:rsidRDefault="00F028D0" w:rsidP="00514D34">
      <w:pPr>
        <w:numPr>
          <w:ilvl w:val="2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Combustibles y minería (21%).</w:t>
      </w:r>
    </w:p>
    <w:p w14:paraId="168DABB5" w14:textId="77777777" w:rsidR="00F028D0" w:rsidRPr="00514D34" w:rsidRDefault="00F028D0" w:rsidP="00514D34">
      <w:pPr>
        <w:numPr>
          <w:ilvl w:val="2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Agricultura (10%).</w:t>
      </w:r>
    </w:p>
    <w:p w14:paraId="5400F9CC" w14:textId="77777777" w:rsidR="00F028D0" w:rsidRPr="00514D34" w:rsidRDefault="00F028D0" w:rsidP="00514D34">
      <w:pPr>
        <w:numPr>
          <w:ilvl w:val="1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Servicios (21,94% del total):</w:t>
      </w:r>
      <w:r w:rsidRPr="00514D34">
        <w:rPr>
          <w:rFonts w:ascii="Cambria" w:hAnsi="Cambria"/>
        </w:rPr>
        <w:t xml:space="preserve"> Crecimiento intenso desde finales de los 80 (Acuerdo GATS). Concentrado en países OCDE. Lideran </w:t>
      </w:r>
      <w:proofErr w:type="gramStart"/>
      <w:r w:rsidRPr="00514D34">
        <w:rPr>
          <w:rFonts w:ascii="Cambria" w:hAnsi="Cambria"/>
        </w:rPr>
        <w:t>EEUU</w:t>
      </w:r>
      <w:proofErr w:type="gramEnd"/>
      <w:r w:rsidRPr="00514D34">
        <w:rPr>
          <w:rFonts w:ascii="Cambria" w:hAnsi="Cambria"/>
        </w:rPr>
        <w:t xml:space="preserve">, </w:t>
      </w:r>
      <w:r w:rsidRPr="00514D34">
        <w:rPr>
          <w:rFonts w:ascii="Cambria" w:hAnsi="Cambria"/>
        </w:rPr>
        <w:lastRenderedPageBreak/>
        <w:t xml:space="preserve">Reino Unido y Alemania (exportadores) y </w:t>
      </w:r>
      <w:proofErr w:type="gramStart"/>
      <w:r w:rsidRPr="00514D34">
        <w:rPr>
          <w:rFonts w:ascii="Cambria" w:hAnsi="Cambria"/>
        </w:rPr>
        <w:t>EEUU</w:t>
      </w:r>
      <w:proofErr w:type="gramEnd"/>
      <w:r w:rsidRPr="00514D34">
        <w:rPr>
          <w:rFonts w:ascii="Cambria" w:hAnsi="Cambria"/>
        </w:rPr>
        <w:t>, China y Alemania (importadores).</w:t>
      </w:r>
    </w:p>
    <w:p w14:paraId="447BE60B" w14:textId="77777777" w:rsidR="00F028D0" w:rsidRPr="00514D34" w:rsidRDefault="00F028D0" w:rsidP="00514D34">
      <w:pPr>
        <w:numPr>
          <w:ilvl w:val="2"/>
          <w:numId w:val="1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Composición principal: Viajes (24%), Transporte (19%).</w:t>
      </w:r>
    </w:p>
    <w:p w14:paraId="60351327" w14:textId="77777777" w:rsidR="00F028D0" w:rsidRPr="00514D34" w:rsidRDefault="00F028D0" w:rsidP="00514D34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14D34">
        <w:rPr>
          <w:rFonts w:ascii="Cambria" w:hAnsi="Cambria"/>
          <w:b/>
          <w:bCs/>
          <w:color w:val="auto"/>
          <w:sz w:val="24"/>
          <w:szCs w:val="24"/>
        </w:rPr>
        <w:t>1.2. Tendencia Evolutiva: Globalización y Concentración</w:t>
      </w:r>
    </w:p>
    <w:p w14:paraId="6F2CB33B" w14:textId="77777777" w:rsidR="00F028D0" w:rsidRPr="00514D34" w:rsidRDefault="00F028D0" w:rsidP="00514D34">
      <w:pPr>
        <w:numPr>
          <w:ilvl w:val="0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Globalización:</w:t>
      </w:r>
      <w:r w:rsidRPr="00514D34">
        <w:rPr>
          <w:rFonts w:ascii="Cambria" w:hAnsi="Cambria"/>
        </w:rPr>
        <w:t xml:space="preserve"> Creciente interdependencia de economías y políticas económicas.</w:t>
      </w:r>
    </w:p>
    <w:p w14:paraId="20E4C623" w14:textId="77777777" w:rsidR="00F028D0" w:rsidRPr="00514D34" w:rsidRDefault="00F028D0" w:rsidP="00514D34">
      <w:pPr>
        <w:numPr>
          <w:ilvl w:val="1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Ventajas:</w:t>
      </w:r>
      <w:r w:rsidRPr="00514D34">
        <w:rPr>
          <w:rFonts w:ascii="Cambria" w:hAnsi="Cambria"/>
        </w:rPr>
        <w:t xml:space="preserve"> Mejor asignación de recursos, difusión tecnológica, disciplina en políticas económicas.</w:t>
      </w:r>
    </w:p>
    <w:p w14:paraId="0391EF2E" w14:textId="77777777" w:rsidR="00F028D0" w:rsidRPr="00514D34" w:rsidRDefault="00F028D0" w:rsidP="00514D34">
      <w:pPr>
        <w:numPr>
          <w:ilvl w:val="1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Factores impulsores:</w:t>
      </w:r>
    </w:p>
    <w:p w14:paraId="10916F9C" w14:textId="77777777" w:rsidR="00F028D0" w:rsidRPr="00514D34" w:rsidRDefault="00F028D0" w:rsidP="00514D34">
      <w:pPr>
        <w:numPr>
          <w:ilvl w:val="2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Impulso Político:</w:t>
      </w:r>
      <w:r w:rsidRPr="00514D34">
        <w:rPr>
          <w:rFonts w:ascii="Cambria" w:hAnsi="Cambria"/>
        </w:rPr>
        <w:t xml:space="preserve"> Creación de la OMC (GATT, GATS, TRIPS) y bloques regionales, convergencia de sistemas económicos tras la caída del Muro de Berlín.</w:t>
      </w:r>
    </w:p>
    <w:p w14:paraId="36737A7B" w14:textId="77777777" w:rsidR="00F028D0" w:rsidRPr="00514D34" w:rsidRDefault="00F028D0" w:rsidP="00514D34">
      <w:pPr>
        <w:numPr>
          <w:ilvl w:val="2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Mejora de Transporte y Telecomunicaciones:</w:t>
      </w:r>
      <w:r w:rsidRPr="00514D34">
        <w:rPr>
          <w:rFonts w:ascii="Cambria" w:hAnsi="Cambria"/>
        </w:rPr>
        <w:t xml:space="preserve"> Reducción de la barrera de la distancia (fax, Internet).</w:t>
      </w:r>
    </w:p>
    <w:p w14:paraId="072E8D1D" w14:textId="77777777" w:rsidR="00F028D0" w:rsidRPr="00514D34" w:rsidRDefault="00F028D0" w:rsidP="00514D34">
      <w:pPr>
        <w:numPr>
          <w:ilvl w:val="2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Cambios Tecnológicos y Concentración:</w:t>
      </w:r>
      <w:r w:rsidRPr="00514D34">
        <w:rPr>
          <w:rFonts w:ascii="Cambria" w:hAnsi="Cambria"/>
        </w:rPr>
        <w:t xml:space="preserve"> Inversiones I+D+i a escala mundial, fusiones transnacionales.</w:t>
      </w:r>
    </w:p>
    <w:p w14:paraId="1FE84F81" w14:textId="77777777" w:rsidR="00F028D0" w:rsidRPr="00514D34" w:rsidRDefault="00F028D0" w:rsidP="00514D34">
      <w:pPr>
        <w:numPr>
          <w:ilvl w:val="2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Deslocalización:</w:t>
      </w:r>
      <w:r w:rsidRPr="00514D34">
        <w:rPr>
          <w:rFonts w:ascii="Cambria" w:hAnsi="Cambria"/>
        </w:rPr>
        <w:t xml:space="preserve"> Desplazamiento de la producción para reducir costes (hacia países emergentes).</w:t>
      </w:r>
    </w:p>
    <w:p w14:paraId="2E3EC3A8" w14:textId="77777777" w:rsidR="00F028D0" w:rsidRPr="00514D34" w:rsidRDefault="00F028D0" w:rsidP="00514D34">
      <w:pPr>
        <w:numPr>
          <w:ilvl w:val="2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Mercado Financiero Global:</w:t>
      </w:r>
      <w:r w:rsidRPr="00514D34">
        <w:rPr>
          <w:rFonts w:ascii="Cambria" w:hAnsi="Cambria"/>
        </w:rPr>
        <w:t xml:space="preserve"> Interrelación de tipos de interés, tipos de cambio y cotizaciones bursátiles.</w:t>
      </w:r>
    </w:p>
    <w:p w14:paraId="38E4DBEC" w14:textId="77777777" w:rsidR="00F028D0" w:rsidRPr="00514D34" w:rsidRDefault="00F028D0" w:rsidP="00514D34">
      <w:pPr>
        <w:numPr>
          <w:ilvl w:val="2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Estrategia Empresarial:</w:t>
      </w:r>
      <w:r w:rsidRPr="00514D34">
        <w:rPr>
          <w:rFonts w:ascii="Cambria" w:hAnsi="Cambria"/>
        </w:rPr>
        <w:t xml:space="preserve"> Enfoque mundial de las multinacionales y búsqueda de socios/ventajas por las PYMES.</w:t>
      </w:r>
    </w:p>
    <w:p w14:paraId="3ED5C90C" w14:textId="0015CEEA" w:rsidR="00F028D0" w:rsidRPr="00514D34" w:rsidRDefault="00F028D0" w:rsidP="00514D34">
      <w:pPr>
        <w:numPr>
          <w:ilvl w:val="0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Concentración:</w:t>
      </w:r>
      <w:r w:rsidRPr="00514D34">
        <w:rPr>
          <w:rFonts w:ascii="Cambria" w:hAnsi="Cambria"/>
        </w:rPr>
        <w:t xml:space="preserve"> Creación de organizaciones internacionales regionales. Más del 50% del comercio mundial se desarrolla bajo estos acuerdos.</w:t>
      </w:r>
    </w:p>
    <w:p w14:paraId="2A8EA2CF" w14:textId="77777777" w:rsidR="00F028D0" w:rsidRPr="00514D34" w:rsidRDefault="00F028D0" w:rsidP="00514D34">
      <w:pPr>
        <w:numPr>
          <w:ilvl w:val="1"/>
          <w:numId w:val="2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Fases de integración (menor a mayor):</w:t>
      </w:r>
    </w:p>
    <w:p w14:paraId="3D08A3AF" w14:textId="77777777" w:rsidR="00F028D0" w:rsidRPr="00514D34" w:rsidRDefault="00F028D0" w:rsidP="00514D34">
      <w:pPr>
        <w:numPr>
          <w:ilvl w:val="2"/>
          <w:numId w:val="3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Acuerdo Preferencial.</w:t>
      </w:r>
    </w:p>
    <w:p w14:paraId="0F7C4B2A" w14:textId="77777777" w:rsidR="00F028D0" w:rsidRPr="00514D34" w:rsidRDefault="00F028D0" w:rsidP="00514D34">
      <w:pPr>
        <w:numPr>
          <w:ilvl w:val="2"/>
          <w:numId w:val="3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Zona de Libre Comercio (ZLC): Eliminación de obstáculos internos, arancel propio frente a TTPP (ej. EFTA, NAFTA).</w:t>
      </w:r>
    </w:p>
    <w:p w14:paraId="2E5C54E3" w14:textId="77777777" w:rsidR="00F028D0" w:rsidRPr="00514D34" w:rsidRDefault="00F028D0" w:rsidP="00514D34">
      <w:pPr>
        <w:numPr>
          <w:ilvl w:val="2"/>
          <w:numId w:val="3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Unión Aduanera: ZLC + Arancel Exterior Común (ej. BENELUX).</w:t>
      </w:r>
    </w:p>
    <w:p w14:paraId="27315F02" w14:textId="77777777" w:rsidR="00F028D0" w:rsidRPr="00514D34" w:rsidRDefault="00F028D0" w:rsidP="00514D34">
      <w:pPr>
        <w:numPr>
          <w:ilvl w:val="2"/>
          <w:numId w:val="3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Mercado Común: Unión Aduanera + Libre circulación de bienes, capital y trabajadores (ej. Mercado Único Europeo).</w:t>
      </w:r>
    </w:p>
    <w:p w14:paraId="2C16A1B3" w14:textId="77777777" w:rsidR="00F028D0" w:rsidRPr="00514D34" w:rsidRDefault="00F028D0" w:rsidP="00514D34">
      <w:pPr>
        <w:numPr>
          <w:ilvl w:val="2"/>
          <w:numId w:val="3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lastRenderedPageBreak/>
        <w:t>Unión Económica: Mercado Común + Políticas macroeconómicas comunes.</w:t>
      </w:r>
    </w:p>
    <w:p w14:paraId="7B461EEC" w14:textId="77777777" w:rsidR="00F028D0" w:rsidRPr="00514D34" w:rsidRDefault="00F028D0" w:rsidP="00514D34">
      <w:pPr>
        <w:numPr>
          <w:ilvl w:val="2"/>
          <w:numId w:val="3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Unión Monetaria: Unión Económica + Moneda única y Banco Central (ej. UEM/Eurozona).</w:t>
      </w:r>
    </w:p>
    <w:p w14:paraId="4C1D4E34" w14:textId="77777777" w:rsidR="00F028D0" w:rsidRPr="00514D34" w:rsidRDefault="00F028D0" w:rsidP="00514D34">
      <w:pPr>
        <w:numPr>
          <w:ilvl w:val="2"/>
          <w:numId w:val="3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Unión Política: Integración completa de las economías.</w:t>
      </w:r>
    </w:p>
    <w:p w14:paraId="1B4DEE25" w14:textId="77777777" w:rsidR="00F028D0" w:rsidRPr="00514D34" w:rsidRDefault="00F028D0" w:rsidP="00514D34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14D34">
        <w:rPr>
          <w:rFonts w:ascii="Cambria" w:hAnsi="Cambria"/>
          <w:b/>
          <w:bCs/>
          <w:color w:val="auto"/>
          <w:sz w:val="24"/>
          <w:szCs w:val="24"/>
        </w:rPr>
        <w:t>1.3. Principales Áreas de Integración Económica y Comercial</w:t>
      </w:r>
    </w:p>
    <w:p w14:paraId="17B5BF56" w14:textId="77777777" w:rsidR="00F028D0" w:rsidRPr="00514D34" w:rsidRDefault="00F028D0" w:rsidP="00514D34">
      <w:pPr>
        <w:numPr>
          <w:ilvl w:val="0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Europa:</w:t>
      </w:r>
    </w:p>
    <w:p w14:paraId="3279FB11" w14:textId="0A4453DB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COMECON:</w:t>
      </w:r>
      <w:r w:rsidRPr="00514D34">
        <w:rPr>
          <w:rFonts w:ascii="Cambria" w:hAnsi="Cambria"/>
        </w:rPr>
        <w:t xml:space="preserve"> (Disuelto en 1991) Países </w:t>
      </w:r>
      <w:r w:rsidR="000119B4" w:rsidRPr="00514D34">
        <w:rPr>
          <w:rFonts w:ascii="Cambria" w:hAnsi="Cambria"/>
        </w:rPr>
        <w:t>órbita soviética</w:t>
      </w:r>
      <w:r w:rsidRPr="00514D34">
        <w:rPr>
          <w:rFonts w:ascii="Cambria" w:hAnsi="Cambria"/>
        </w:rPr>
        <w:t>, orientados a economía de mercado (algunos miembros UE desde 2004/2007/2013).</w:t>
      </w:r>
    </w:p>
    <w:p w14:paraId="0CA19731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EFTA:</w:t>
      </w:r>
      <w:r w:rsidRPr="00514D34">
        <w:rPr>
          <w:rFonts w:ascii="Cambria" w:hAnsi="Cambria"/>
        </w:rPr>
        <w:t xml:space="preserve"> (Noruega, Suiza, Liechtenstein, Islandia) Zona de Libre Comercio. (EEE incluye UE-27 + Noruega, Liechtenstein e Islandia).</w:t>
      </w:r>
    </w:p>
    <w:p w14:paraId="2E31E860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UE:</w:t>
      </w:r>
      <w:r w:rsidRPr="00514D34">
        <w:rPr>
          <w:rFonts w:ascii="Cambria" w:hAnsi="Cambria"/>
        </w:rPr>
        <w:t xml:space="preserve"> Proceso más avanzado (Mercado Único 1993, UEM 2002). Principal zona comercial y de mayor integración del mundo.</w:t>
      </w:r>
    </w:p>
    <w:p w14:paraId="4BAC7FD8" w14:textId="77777777" w:rsidR="00F028D0" w:rsidRPr="00514D34" w:rsidRDefault="00F028D0" w:rsidP="00514D34">
      <w:pPr>
        <w:numPr>
          <w:ilvl w:val="0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América:</w:t>
      </w:r>
    </w:p>
    <w:p w14:paraId="33B15A8F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ALADI:</w:t>
      </w:r>
      <w:r w:rsidRPr="00514D34">
        <w:rPr>
          <w:rFonts w:ascii="Cambria" w:hAnsi="Cambria"/>
        </w:rPr>
        <w:t xml:space="preserve"> (Latinoamérica) Bloques internos: </w:t>
      </w:r>
      <w:r w:rsidRPr="00514D34">
        <w:rPr>
          <w:rFonts w:ascii="Cambria" w:hAnsi="Cambria"/>
          <w:b/>
          <w:bCs/>
        </w:rPr>
        <w:t>CAN</w:t>
      </w:r>
      <w:r w:rsidRPr="00514D34">
        <w:rPr>
          <w:rFonts w:ascii="Cambria" w:hAnsi="Cambria"/>
        </w:rPr>
        <w:t xml:space="preserve"> (Unión Aduanera), </w:t>
      </w:r>
      <w:r w:rsidRPr="00514D34">
        <w:rPr>
          <w:rFonts w:ascii="Cambria" w:hAnsi="Cambria"/>
          <w:b/>
          <w:bCs/>
        </w:rPr>
        <w:t>MERCOSUR</w:t>
      </w:r>
      <w:r w:rsidRPr="00514D34">
        <w:rPr>
          <w:rFonts w:ascii="Cambria" w:hAnsi="Cambria"/>
        </w:rPr>
        <w:t xml:space="preserve"> (Unión Aduanera y más exitoso), Mercado Común Centroamericano.</w:t>
      </w:r>
    </w:p>
    <w:p w14:paraId="35EBF8AA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T-MEC / USMCA (antes NAFTA):</w:t>
      </w:r>
      <w:r w:rsidRPr="00514D34">
        <w:rPr>
          <w:rFonts w:ascii="Cambria" w:hAnsi="Cambria"/>
        </w:rPr>
        <w:t xml:space="preserve"> (</w:t>
      </w:r>
      <w:proofErr w:type="gramStart"/>
      <w:r w:rsidRPr="00514D34">
        <w:rPr>
          <w:rFonts w:ascii="Cambria" w:hAnsi="Cambria"/>
        </w:rPr>
        <w:t>EEUU</w:t>
      </w:r>
      <w:proofErr w:type="gramEnd"/>
      <w:r w:rsidRPr="00514D34">
        <w:rPr>
          <w:rFonts w:ascii="Cambria" w:hAnsi="Cambria"/>
        </w:rPr>
        <w:t>, Canadá, México) ZLC. Sustituyó a NAFTA en 2020.</w:t>
      </w:r>
    </w:p>
    <w:p w14:paraId="38AF6DFF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ALCA:</w:t>
      </w:r>
      <w:r w:rsidRPr="00514D34">
        <w:rPr>
          <w:rFonts w:ascii="Cambria" w:hAnsi="Cambria"/>
        </w:rPr>
        <w:t xml:space="preserve"> (Proyecto muerto desde 2005) Buscaba la expansión de NAFTA a toda América (salvo Cuba).</w:t>
      </w:r>
    </w:p>
    <w:p w14:paraId="3D1B9A1E" w14:textId="77777777" w:rsidR="00F028D0" w:rsidRPr="00514D34" w:rsidRDefault="00F028D0" w:rsidP="00514D34">
      <w:pPr>
        <w:numPr>
          <w:ilvl w:val="0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Asia y Oceanía:</w:t>
      </w:r>
    </w:p>
    <w:p w14:paraId="66F43980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ASEAN:</w:t>
      </w:r>
      <w:r w:rsidRPr="00514D34">
        <w:rPr>
          <w:rFonts w:ascii="Cambria" w:hAnsi="Cambria"/>
        </w:rPr>
        <w:t xml:space="preserve"> (10 países) ZLC acordada en 1992. Tercer bloque por flujos intrarregionales.</w:t>
      </w:r>
    </w:p>
    <w:p w14:paraId="424EE414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APEC:</w:t>
      </w:r>
      <w:r w:rsidRPr="00514D34">
        <w:rPr>
          <w:rFonts w:ascii="Cambria" w:hAnsi="Cambria"/>
        </w:rPr>
        <w:t xml:space="preserve"> (OCDE del Pacífico) Foro de Cooperación Económica Asia-Pacífico.</w:t>
      </w:r>
    </w:p>
    <w:p w14:paraId="6790A16A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RCEP:</w:t>
      </w:r>
      <w:r w:rsidRPr="00514D34">
        <w:rPr>
          <w:rFonts w:ascii="Cambria" w:hAnsi="Cambria"/>
        </w:rPr>
        <w:t xml:space="preserve"> (Desde 2022) ALC entre ASEAN + Australia, China, Japón, Corea del Sur y Nueva Zelanda. El tratado multilateral más importante con China.</w:t>
      </w:r>
    </w:p>
    <w:p w14:paraId="328D4AA8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ANZCERTA:</w:t>
      </w:r>
      <w:r w:rsidRPr="00514D34">
        <w:rPr>
          <w:rFonts w:ascii="Cambria" w:hAnsi="Cambria"/>
        </w:rPr>
        <w:t xml:space="preserve"> (Australia-Nueva Zelanda) Eliminación de aranceles y armonización de políticas macro.</w:t>
      </w:r>
    </w:p>
    <w:p w14:paraId="7175DF20" w14:textId="77777777" w:rsidR="00F028D0" w:rsidRPr="00514D34" w:rsidRDefault="00F028D0" w:rsidP="00514D34">
      <w:pPr>
        <w:numPr>
          <w:ilvl w:val="0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Oriente Medio y África:</w:t>
      </w:r>
    </w:p>
    <w:p w14:paraId="51FDD57F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lastRenderedPageBreak/>
        <w:t>Consejo de Cooperación del Golfo:</w:t>
      </w:r>
      <w:r w:rsidRPr="00514D34">
        <w:rPr>
          <w:rFonts w:ascii="Cambria" w:hAnsi="Cambria"/>
        </w:rPr>
        <w:t xml:space="preserve"> Mercado Común desde 2008.</w:t>
      </w:r>
    </w:p>
    <w:p w14:paraId="11F4412E" w14:textId="77777777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OPEP:</w:t>
      </w:r>
      <w:r w:rsidRPr="00514D34">
        <w:rPr>
          <w:rFonts w:ascii="Cambria" w:hAnsi="Cambria"/>
        </w:rPr>
        <w:t xml:space="preserve"> Países Exportadores de Petróleo.</w:t>
      </w:r>
    </w:p>
    <w:p w14:paraId="62754598" w14:textId="6C7DD564" w:rsidR="00F028D0" w:rsidRPr="00514D34" w:rsidRDefault="00F028D0" w:rsidP="00514D34">
      <w:pPr>
        <w:numPr>
          <w:ilvl w:val="1"/>
          <w:numId w:val="4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CEA:</w:t>
      </w:r>
      <w:r w:rsidRPr="00514D34">
        <w:rPr>
          <w:rFonts w:ascii="Cambria" w:hAnsi="Cambria"/>
        </w:rPr>
        <w:t xml:space="preserve"> Buscando una Unión Económica Africana.</w:t>
      </w:r>
    </w:p>
    <w:p w14:paraId="47FBC7C9" w14:textId="67CDB021" w:rsidR="00F028D0" w:rsidRPr="00514D34" w:rsidRDefault="00F028D0" w:rsidP="00514D34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14D34">
        <w:rPr>
          <w:rFonts w:ascii="Cambria" w:hAnsi="Cambria"/>
          <w:b/>
          <w:bCs/>
          <w:color w:val="auto"/>
          <w:sz w:val="24"/>
          <w:szCs w:val="24"/>
        </w:rPr>
        <w:t>1.4. Política Comercial de la UE</w:t>
      </w:r>
    </w:p>
    <w:p w14:paraId="212C559E" w14:textId="77777777" w:rsidR="00F028D0" w:rsidRPr="00514D34" w:rsidRDefault="00F028D0" w:rsidP="00514D34">
      <w:pPr>
        <w:numPr>
          <w:ilvl w:val="0"/>
          <w:numId w:val="5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Multilaterales (OMC):</w:t>
      </w:r>
      <w:r w:rsidRPr="00514D34">
        <w:rPr>
          <w:rFonts w:ascii="Cambria" w:hAnsi="Cambria"/>
        </w:rPr>
        <w:t xml:space="preserve"> Acuerdos en Conferencias Ministeriales (Bali, Nairobi, Buenos Aires, Ginebra). Consenso en el </w:t>
      </w:r>
      <w:r w:rsidRPr="00514D34">
        <w:rPr>
          <w:rFonts w:ascii="Cambria" w:hAnsi="Cambria"/>
          <w:b/>
          <w:bCs/>
        </w:rPr>
        <w:t>Acuerdo de Facilitación de Comercio</w:t>
      </w:r>
      <w:r w:rsidRPr="00514D34">
        <w:rPr>
          <w:rFonts w:ascii="Cambria" w:hAnsi="Cambria"/>
        </w:rPr>
        <w:t xml:space="preserve"> (entrada en vigor 2017).</w:t>
      </w:r>
    </w:p>
    <w:p w14:paraId="3CDD61F2" w14:textId="77777777" w:rsidR="00F028D0" w:rsidRPr="00514D34" w:rsidRDefault="00F028D0" w:rsidP="00514D34">
      <w:pPr>
        <w:numPr>
          <w:ilvl w:val="0"/>
          <w:numId w:val="5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Plurilaterales:</w:t>
      </w:r>
    </w:p>
    <w:p w14:paraId="140348B3" w14:textId="77777777" w:rsidR="00F028D0" w:rsidRPr="00514D34" w:rsidRDefault="00F028D0" w:rsidP="00514D34">
      <w:pPr>
        <w:numPr>
          <w:ilvl w:val="1"/>
          <w:numId w:val="5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Acuerdo sobre Bienes Medioambientales (EGA).</w:t>
      </w:r>
    </w:p>
    <w:p w14:paraId="5D08AEF4" w14:textId="77777777" w:rsidR="00F028D0" w:rsidRPr="00514D34" w:rsidRDefault="00F028D0" w:rsidP="00514D34">
      <w:pPr>
        <w:numPr>
          <w:ilvl w:val="1"/>
          <w:numId w:val="5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Acuerdo sobre Tecnología de la Información (ITA).</w:t>
      </w:r>
    </w:p>
    <w:p w14:paraId="312C9BC3" w14:textId="77777777" w:rsidR="00F028D0" w:rsidRPr="00514D34" w:rsidRDefault="00F028D0" w:rsidP="00514D34">
      <w:pPr>
        <w:numPr>
          <w:ilvl w:val="1"/>
          <w:numId w:val="5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Acuerdo sobre Comercio de Servicios (TISA).</w:t>
      </w:r>
      <w:r w:rsidRPr="00514D34">
        <w:rPr>
          <w:rFonts w:ascii="Cambria" w:hAnsi="Cambria"/>
        </w:rPr>
        <w:t xml:space="preserve"> (Negociación en suspenso desde 2016).</w:t>
      </w:r>
    </w:p>
    <w:p w14:paraId="17604881" w14:textId="77777777" w:rsidR="00F028D0" w:rsidRPr="008F6B63" w:rsidRDefault="00F028D0" w:rsidP="00514D34">
      <w:pPr>
        <w:numPr>
          <w:ilvl w:val="0"/>
          <w:numId w:val="5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Bilaterales destacados (América y Asia):</w:t>
      </w:r>
      <w:r w:rsidRPr="00514D34">
        <w:rPr>
          <w:rFonts w:ascii="Cambria" w:hAnsi="Cambria"/>
        </w:rPr>
        <w:t xml:space="preserve"> Negociaciones/Acuerdos de Asociación Económica, </w:t>
      </w:r>
      <w:r w:rsidRPr="008F6B63">
        <w:rPr>
          <w:rFonts w:ascii="Cambria" w:hAnsi="Cambria"/>
        </w:rPr>
        <w:t xml:space="preserve">Cooperación y/o Comercio con Canadá (CETA, en vigor 2017), Colombia y Perú (ACM), Ecuador, Chile, México, Japón, y en negociación con MERCOSUR y la India. (El TTIP con </w:t>
      </w:r>
      <w:proofErr w:type="gramStart"/>
      <w:r w:rsidRPr="008F6B63">
        <w:rPr>
          <w:rFonts w:ascii="Cambria" w:hAnsi="Cambria"/>
        </w:rPr>
        <w:t>EEUU</w:t>
      </w:r>
      <w:proofErr w:type="gramEnd"/>
      <w:r w:rsidRPr="008F6B63">
        <w:rPr>
          <w:rFonts w:ascii="Cambria" w:hAnsi="Cambria"/>
        </w:rPr>
        <w:t xml:space="preserve"> está actualmente en suspenso).</w:t>
      </w:r>
    </w:p>
    <w:p w14:paraId="63CA4D56" w14:textId="77777777" w:rsidR="00F028D0" w:rsidRPr="00514D34" w:rsidRDefault="00F028D0" w:rsidP="00514D34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14D34">
        <w:rPr>
          <w:rFonts w:ascii="Cambria" w:hAnsi="Cambria"/>
          <w:b/>
          <w:bCs/>
          <w:color w:val="auto"/>
          <w:sz w:val="28"/>
          <w:szCs w:val="28"/>
        </w:rPr>
        <w:t>2. Teoría y Práctica del Comercio Internacional</w:t>
      </w:r>
    </w:p>
    <w:p w14:paraId="6305B93A" w14:textId="77777777" w:rsidR="00F028D0" w:rsidRPr="00514D34" w:rsidRDefault="00F028D0" w:rsidP="00514D34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14D34">
        <w:rPr>
          <w:rFonts w:ascii="Cambria" w:hAnsi="Cambria"/>
          <w:b/>
          <w:bCs/>
          <w:color w:val="auto"/>
          <w:sz w:val="24"/>
          <w:szCs w:val="24"/>
        </w:rPr>
        <w:t>2.1. Teoría del Comercio Internacional: Ventaja Comparativa</w:t>
      </w:r>
    </w:p>
    <w:p w14:paraId="6D9FCFDE" w14:textId="77777777" w:rsidR="00F028D0" w:rsidRPr="00514D34" w:rsidRDefault="00F028D0" w:rsidP="00514D34">
      <w:pPr>
        <w:numPr>
          <w:ilvl w:val="0"/>
          <w:numId w:val="6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Teoría de la Ventaja Absoluta (Adam Smith):</w:t>
      </w:r>
      <w:r w:rsidRPr="00514D34">
        <w:rPr>
          <w:rFonts w:ascii="Cambria" w:hAnsi="Cambria"/>
        </w:rPr>
        <w:t xml:space="preserve"> Un país se especializa en el bien que produce de forma más barata (menor coste/mayor productividad) en términos absolutos. </w:t>
      </w:r>
      <w:r w:rsidRPr="008F6B63">
        <w:rPr>
          <w:rFonts w:ascii="Cambria" w:hAnsi="Cambria"/>
          <w:u w:val="single"/>
        </w:rPr>
        <w:t>Limitación</w:t>
      </w:r>
      <w:r w:rsidRPr="00514D34">
        <w:rPr>
          <w:rFonts w:ascii="Cambria" w:hAnsi="Cambria"/>
        </w:rPr>
        <w:t>: No explica el comercio si un país tiene ventaja absoluta en todo.</w:t>
      </w:r>
    </w:p>
    <w:p w14:paraId="26F663C6" w14:textId="77777777" w:rsidR="00F028D0" w:rsidRPr="00514D34" w:rsidRDefault="00F028D0" w:rsidP="00514D34">
      <w:pPr>
        <w:numPr>
          <w:ilvl w:val="0"/>
          <w:numId w:val="6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Teoría de la Ventaja Comparativa (David Ricardo):</w:t>
      </w:r>
      <w:r w:rsidRPr="00514D34">
        <w:rPr>
          <w:rFonts w:ascii="Cambria" w:hAnsi="Cambria"/>
        </w:rPr>
        <w:t xml:space="preserve"> Un país se especializa en el bien cuyo coste de producción es relativamente más barato que el otro país. Explica las ventajas recíprocas del comercio.</w:t>
      </w:r>
    </w:p>
    <w:p w14:paraId="555E5A9A" w14:textId="23D25248" w:rsidR="00F028D0" w:rsidRPr="00514D34" w:rsidRDefault="00F028D0" w:rsidP="00514D34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14D34">
        <w:rPr>
          <w:rFonts w:ascii="Cambria" w:hAnsi="Cambria"/>
          <w:b/>
          <w:bCs/>
          <w:color w:val="auto"/>
          <w:sz w:val="24"/>
          <w:szCs w:val="24"/>
        </w:rPr>
        <w:t>2.2. Relación Real de Intercambio</w:t>
      </w:r>
    </w:p>
    <w:p w14:paraId="1FC69E37" w14:textId="29ECCB5F" w:rsidR="00F028D0" w:rsidRPr="00514D34" w:rsidRDefault="00F028D0" w:rsidP="00514D34">
      <w:pPr>
        <w:numPr>
          <w:ilvl w:val="0"/>
          <w:numId w:val="7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Fórmula:</w:t>
      </w:r>
      <w:r w:rsidRPr="00514D34">
        <w:rPr>
          <w:rFonts w:ascii="Cambria" w:hAnsi="Cambria"/>
        </w:rPr>
        <w:t xml:space="preserve"> RRI = </w:t>
      </w:r>
      <w:proofErr w:type="spellStart"/>
      <w:r w:rsidRPr="00514D34">
        <w:rPr>
          <w:rFonts w:ascii="Cambria" w:hAnsi="Cambria"/>
        </w:rPr>
        <w:t>Px</w:t>
      </w:r>
      <w:proofErr w:type="spellEnd"/>
      <w:r w:rsidRPr="00514D34">
        <w:rPr>
          <w:rFonts w:ascii="Cambria" w:hAnsi="Cambria"/>
        </w:rPr>
        <w:t>/Pi (Índice de Precios de Exportación sobre Índice de Precios de Importación).</w:t>
      </w:r>
    </w:p>
    <w:p w14:paraId="21B05669" w14:textId="77777777" w:rsidR="00F028D0" w:rsidRPr="00514D34" w:rsidRDefault="00F028D0" w:rsidP="00514D34">
      <w:pPr>
        <w:numPr>
          <w:ilvl w:val="0"/>
          <w:numId w:val="7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Significado:</w:t>
      </w:r>
      <w:r w:rsidRPr="00514D34">
        <w:rPr>
          <w:rFonts w:ascii="Cambria" w:hAnsi="Cambria"/>
        </w:rPr>
        <w:t xml:space="preserve"> Mide el beneficio de un país en el comercio internacional.</w:t>
      </w:r>
    </w:p>
    <w:p w14:paraId="04EFB6FE" w14:textId="1EDAB0DE" w:rsidR="00F028D0" w:rsidRPr="00514D34" w:rsidRDefault="00F028D0" w:rsidP="00514D34">
      <w:pPr>
        <w:numPr>
          <w:ilvl w:val="1"/>
          <w:numId w:val="7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lastRenderedPageBreak/>
        <w:t xml:space="preserve">RRI </w:t>
      </w:r>
      <w:r w:rsidR="005D2F4E" w:rsidRPr="00514D34">
        <w:rPr>
          <w:rFonts w:ascii="Cambria" w:hAnsi="Cambria"/>
          <w:b/>
          <w:bCs/>
        </w:rPr>
        <w:t>sube</w:t>
      </w:r>
      <w:r w:rsidRPr="00514D34">
        <w:rPr>
          <w:rFonts w:ascii="Cambria" w:hAnsi="Cambria"/>
          <w:b/>
          <w:bCs/>
        </w:rPr>
        <w:t>:</w:t>
      </w:r>
      <w:r w:rsidRPr="00514D34">
        <w:rPr>
          <w:rFonts w:ascii="Cambria" w:hAnsi="Cambria"/>
        </w:rPr>
        <w:t xml:space="preserve"> El precio de las exportaciones es mayor respecto a las importaciones. Mayor beneficio; se pueden financiar más importaciones.</w:t>
      </w:r>
    </w:p>
    <w:p w14:paraId="7B4BCE44" w14:textId="53731D40" w:rsidR="00F028D0" w:rsidRPr="00514D34" w:rsidRDefault="00F028D0" w:rsidP="00514D34">
      <w:pPr>
        <w:numPr>
          <w:ilvl w:val="1"/>
          <w:numId w:val="7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 xml:space="preserve">RRI baja: </w:t>
      </w:r>
      <w:r w:rsidRPr="00514D34">
        <w:rPr>
          <w:rFonts w:ascii="Cambria" w:hAnsi="Cambria"/>
        </w:rPr>
        <w:t>Deterioro de los términos de intercambio. Mayor coste de importaciones.</w:t>
      </w:r>
    </w:p>
    <w:p w14:paraId="2634F60C" w14:textId="77777777" w:rsidR="00F028D0" w:rsidRPr="00514D34" w:rsidRDefault="00F028D0" w:rsidP="00514D34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14D34">
        <w:rPr>
          <w:rFonts w:ascii="Cambria" w:hAnsi="Cambria"/>
          <w:b/>
          <w:bCs/>
          <w:color w:val="auto"/>
          <w:sz w:val="24"/>
          <w:szCs w:val="24"/>
        </w:rPr>
        <w:t>2.3. Librecambio y Proteccionismo</w:t>
      </w:r>
    </w:p>
    <w:p w14:paraId="58D00133" w14:textId="77777777" w:rsidR="00F028D0" w:rsidRPr="00514D34" w:rsidRDefault="00F028D0" w:rsidP="00514D34">
      <w:pPr>
        <w:numPr>
          <w:ilvl w:val="0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Librecambio (Marco Neoclásico):</w:t>
      </w:r>
      <w:r w:rsidRPr="00514D34">
        <w:rPr>
          <w:rFonts w:ascii="Cambria" w:hAnsi="Cambria"/>
        </w:rPr>
        <w:t xml:space="preserve"> Siempre superior al proteccionismo en términos de bienestar social, ya que permite:</w:t>
      </w:r>
    </w:p>
    <w:p w14:paraId="3ECAEF5F" w14:textId="77777777" w:rsidR="00F028D0" w:rsidRPr="00514D34" w:rsidRDefault="00F028D0" w:rsidP="00514D34">
      <w:pPr>
        <w:numPr>
          <w:ilvl w:val="1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Asignación eficaz de recursos y aumento de la producción/consumo global.</w:t>
      </w:r>
    </w:p>
    <w:p w14:paraId="0A4DF44B" w14:textId="77777777" w:rsidR="00F028D0" w:rsidRPr="00514D34" w:rsidRDefault="00F028D0" w:rsidP="00514D34">
      <w:pPr>
        <w:numPr>
          <w:ilvl w:val="1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</w:rPr>
        <w:t>Beneficio (o al menos no empeoramiento) para todos los países respecto al proteccionismo.</w:t>
      </w:r>
    </w:p>
    <w:p w14:paraId="6BA1A07C" w14:textId="4342D562" w:rsidR="00F028D0" w:rsidRPr="00514D34" w:rsidRDefault="00F028D0" w:rsidP="00514D34">
      <w:pPr>
        <w:numPr>
          <w:ilvl w:val="0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Proteccionismo (Marco de Competencia Imperfecta):</w:t>
      </w:r>
      <w:r w:rsidRPr="00514D34">
        <w:rPr>
          <w:rFonts w:ascii="Cambria" w:hAnsi="Cambria"/>
        </w:rPr>
        <w:t xml:space="preserve"> Se justifica en circunstancias específica</w:t>
      </w:r>
      <w:r w:rsidR="000119B4" w:rsidRPr="00514D34">
        <w:rPr>
          <w:rFonts w:ascii="Cambria" w:hAnsi="Cambria"/>
        </w:rPr>
        <w:t>s</w:t>
      </w:r>
      <w:r w:rsidRPr="00514D34">
        <w:rPr>
          <w:rFonts w:ascii="Cambria" w:hAnsi="Cambria"/>
        </w:rPr>
        <w:t>:</w:t>
      </w:r>
    </w:p>
    <w:p w14:paraId="32969A93" w14:textId="77777777" w:rsidR="00F028D0" w:rsidRPr="00514D34" w:rsidRDefault="00F028D0" w:rsidP="00514D34">
      <w:pPr>
        <w:numPr>
          <w:ilvl w:val="1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Industria naciente:</w:t>
      </w:r>
      <w:r w:rsidRPr="00514D34">
        <w:rPr>
          <w:rFonts w:ascii="Cambria" w:hAnsi="Cambria"/>
        </w:rPr>
        <w:t xml:space="preserve"> Arancel temporal para permitir que una industria se desarrolle y se vuelva competitiva (uso en PED).</w:t>
      </w:r>
    </w:p>
    <w:p w14:paraId="56B4D809" w14:textId="77777777" w:rsidR="00F028D0" w:rsidRPr="00514D34" w:rsidRDefault="00F028D0" w:rsidP="00514D34">
      <w:pPr>
        <w:numPr>
          <w:ilvl w:val="1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Externalidades positivas</w:t>
      </w:r>
      <w:r w:rsidRPr="00514D34">
        <w:rPr>
          <w:rFonts w:ascii="Cambria" w:hAnsi="Cambria"/>
        </w:rPr>
        <w:t xml:space="preserve"> en una industria.</w:t>
      </w:r>
    </w:p>
    <w:p w14:paraId="72D0BAEA" w14:textId="77777777" w:rsidR="00F028D0" w:rsidRPr="00514D34" w:rsidRDefault="00F028D0" w:rsidP="00514D34">
      <w:pPr>
        <w:numPr>
          <w:ilvl w:val="1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Política comercial estratégica:</w:t>
      </w:r>
      <w:r w:rsidRPr="00514D34">
        <w:rPr>
          <w:rFonts w:ascii="Cambria" w:hAnsi="Cambria"/>
        </w:rPr>
        <w:t xml:space="preserve"> Proteger la posición dominante de empresas nacionales.</w:t>
      </w:r>
    </w:p>
    <w:p w14:paraId="4C9FA78E" w14:textId="77777777" w:rsidR="00F028D0" w:rsidRPr="00514D34" w:rsidRDefault="00F028D0" w:rsidP="00514D34">
      <w:pPr>
        <w:numPr>
          <w:ilvl w:val="1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Vulnerabilidad de sectores estratégicos</w:t>
      </w:r>
      <w:r w:rsidRPr="00514D34">
        <w:rPr>
          <w:rFonts w:ascii="Cambria" w:hAnsi="Cambria"/>
        </w:rPr>
        <w:t xml:space="preserve"> (defensa, energía).</w:t>
      </w:r>
    </w:p>
    <w:p w14:paraId="23EBD8DD" w14:textId="5C19ACD4" w:rsidR="00F028D0" w:rsidRPr="00514D34" w:rsidRDefault="00F028D0" w:rsidP="00514D34">
      <w:pPr>
        <w:numPr>
          <w:ilvl w:val="1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Comercio no equitativo:</w:t>
      </w:r>
      <w:r w:rsidRPr="00514D34">
        <w:rPr>
          <w:rFonts w:ascii="Cambria" w:hAnsi="Cambria"/>
        </w:rPr>
        <w:t xml:space="preserve"> Respuesta al </w:t>
      </w:r>
      <w:r w:rsidRPr="00514D34">
        <w:rPr>
          <w:rFonts w:ascii="Cambria" w:hAnsi="Cambria"/>
          <w:i/>
          <w:iCs/>
        </w:rPr>
        <w:t>dumping</w:t>
      </w:r>
      <w:r w:rsidRPr="00514D34">
        <w:rPr>
          <w:rFonts w:ascii="Cambria" w:hAnsi="Cambria"/>
        </w:rPr>
        <w:t xml:space="preserve"> o preocupaciones medioambientales (uso en países desarrollados).</w:t>
      </w:r>
    </w:p>
    <w:p w14:paraId="29EB6DCE" w14:textId="77777777" w:rsidR="00F028D0" w:rsidRPr="00514D34" w:rsidRDefault="00F028D0" w:rsidP="00514D34">
      <w:pPr>
        <w:numPr>
          <w:ilvl w:val="0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Estrategias resultantes:</w:t>
      </w:r>
    </w:p>
    <w:p w14:paraId="47E0314E" w14:textId="77777777" w:rsidR="00F028D0" w:rsidRPr="00514D34" w:rsidRDefault="00F028D0" w:rsidP="00514D34">
      <w:pPr>
        <w:numPr>
          <w:ilvl w:val="1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Sustitución de Importaciones:</w:t>
      </w:r>
      <w:r w:rsidRPr="00514D34">
        <w:rPr>
          <w:rFonts w:ascii="Cambria" w:hAnsi="Cambria"/>
        </w:rPr>
        <w:t xml:space="preserve"> Basada en argumentos proteccionistas.</w:t>
      </w:r>
    </w:p>
    <w:p w14:paraId="7ED06362" w14:textId="711332AF" w:rsidR="00F028D0" w:rsidRPr="00514D34" w:rsidRDefault="00F028D0" w:rsidP="00514D34">
      <w:pPr>
        <w:numPr>
          <w:ilvl w:val="1"/>
          <w:numId w:val="8"/>
        </w:numPr>
        <w:jc w:val="both"/>
        <w:rPr>
          <w:rFonts w:ascii="Cambria" w:hAnsi="Cambria"/>
        </w:rPr>
      </w:pPr>
      <w:r w:rsidRPr="00514D34">
        <w:rPr>
          <w:rFonts w:ascii="Cambria" w:hAnsi="Cambria"/>
          <w:b/>
          <w:bCs/>
        </w:rPr>
        <w:t>Orientada a las Exportaciones:</w:t>
      </w:r>
      <w:r w:rsidRPr="00514D34">
        <w:rPr>
          <w:rFonts w:ascii="Cambria" w:hAnsi="Cambria"/>
        </w:rPr>
        <w:t xml:space="preserve"> Basada en la Ventaja Comparativa</w:t>
      </w:r>
      <w:r w:rsidR="000119B4" w:rsidRPr="00514D34">
        <w:rPr>
          <w:rFonts w:ascii="Cambria" w:hAnsi="Cambria"/>
        </w:rPr>
        <w:t>.</w:t>
      </w:r>
    </w:p>
    <w:p w14:paraId="01C67F8C" w14:textId="77777777" w:rsidR="00A65383" w:rsidRPr="00514D34" w:rsidRDefault="00A65383" w:rsidP="00514D34">
      <w:pPr>
        <w:jc w:val="both"/>
        <w:rPr>
          <w:rFonts w:ascii="Cambria" w:hAnsi="Cambria"/>
        </w:rPr>
      </w:pPr>
    </w:p>
    <w:sectPr w:rsidR="00A65383" w:rsidRPr="00514D34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4DADC" w14:textId="77777777" w:rsidR="000119B4" w:rsidRDefault="000119B4" w:rsidP="000119B4">
      <w:pPr>
        <w:spacing w:after="0" w:line="240" w:lineRule="auto"/>
      </w:pPr>
      <w:r>
        <w:separator/>
      </w:r>
    </w:p>
  </w:endnote>
  <w:endnote w:type="continuationSeparator" w:id="0">
    <w:p w14:paraId="584FE1A2" w14:textId="77777777" w:rsidR="000119B4" w:rsidRDefault="000119B4" w:rsidP="000119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C58CD" w14:textId="77777777" w:rsidR="000119B4" w:rsidRDefault="000119B4" w:rsidP="000119B4">
      <w:pPr>
        <w:spacing w:after="0" w:line="240" w:lineRule="auto"/>
      </w:pPr>
      <w:r>
        <w:separator/>
      </w:r>
    </w:p>
  </w:footnote>
  <w:footnote w:type="continuationSeparator" w:id="0">
    <w:p w14:paraId="2D186704" w14:textId="77777777" w:rsidR="000119B4" w:rsidRDefault="000119B4" w:rsidP="000119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243E0" w14:textId="30C97948" w:rsidR="000119B4" w:rsidRPr="000119B4" w:rsidRDefault="000119B4" w:rsidP="000119B4">
    <w:pPr>
      <w:pStyle w:val="Encabezado"/>
      <w:jc w:val="both"/>
      <w:rPr>
        <w:rFonts w:ascii="Palatino Linotype" w:hAnsi="Palatino Linotype"/>
        <w:i/>
        <w:iCs/>
      </w:rPr>
    </w:pPr>
    <w:r w:rsidRPr="000119B4">
      <w:rPr>
        <w:rFonts w:ascii="Palatino Linotype" w:hAnsi="Palatino Linotype"/>
        <w:b/>
        <w:bCs/>
        <w:i/>
        <w:iCs/>
      </w:rPr>
      <w:t>TEMA 1 -</w:t>
    </w:r>
    <w:r>
      <w:rPr>
        <w:rFonts w:ascii="Palatino Linotype" w:hAnsi="Palatino Linotype"/>
        <w:b/>
        <w:bCs/>
        <w:i/>
        <w:iCs/>
      </w:rPr>
      <w:t xml:space="preserve"> </w:t>
    </w:r>
    <w:r w:rsidRPr="000119B4">
      <w:rPr>
        <w:rFonts w:ascii="Palatino Linotype" w:hAnsi="Palatino Linotype"/>
        <w:i/>
        <w:iCs/>
      </w:rPr>
      <w:t>El comercio internacional. Marco general y principales magnitudes. Tendencia evolutiva: globalización y concentración. Teoría y práctica del comercio internacional. La teoría del comercio internacional: la ventaja comparativa. La relación real de intercambio. Librecambio y proteccionismo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F06A0"/>
    <w:multiLevelType w:val="multilevel"/>
    <w:tmpl w:val="B928E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F95F8C"/>
    <w:multiLevelType w:val="multilevel"/>
    <w:tmpl w:val="A6EE8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0E078F"/>
    <w:multiLevelType w:val="hybridMultilevel"/>
    <w:tmpl w:val="724428E4"/>
    <w:lvl w:ilvl="0" w:tplc="3168EFF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DA0D43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F9D03C5C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CB021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510FB2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EE2EB0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8200C3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43A1AD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84E4A1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9816CC"/>
    <w:multiLevelType w:val="multilevel"/>
    <w:tmpl w:val="AF2E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B4633F"/>
    <w:multiLevelType w:val="multilevel"/>
    <w:tmpl w:val="4C0AA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8F392F"/>
    <w:multiLevelType w:val="multilevel"/>
    <w:tmpl w:val="1284B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4A155F"/>
    <w:multiLevelType w:val="multilevel"/>
    <w:tmpl w:val="10ACE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EA780D"/>
    <w:multiLevelType w:val="multilevel"/>
    <w:tmpl w:val="DF041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1464575">
    <w:abstractNumId w:val="3"/>
  </w:num>
  <w:num w:numId="2" w16cid:durableId="2104454292">
    <w:abstractNumId w:val="1"/>
  </w:num>
  <w:num w:numId="3" w16cid:durableId="1208687713">
    <w:abstractNumId w:val="2"/>
  </w:num>
  <w:num w:numId="4" w16cid:durableId="1005937780">
    <w:abstractNumId w:val="7"/>
  </w:num>
  <w:num w:numId="5" w16cid:durableId="636187440">
    <w:abstractNumId w:val="6"/>
  </w:num>
  <w:num w:numId="6" w16cid:durableId="2003116734">
    <w:abstractNumId w:val="4"/>
  </w:num>
  <w:num w:numId="7" w16cid:durableId="1093434669">
    <w:abstractNumId w:val="0"/>
  </w:num>
  <w:num w:numId="8" w16cid:durableId="20452515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8D0"/>
    <w:rsid w:val="000119B4"/>
    <w:rsid w:val="00514D34"/>
    <w:rsid w:val="00531F00"/>
    <w:rsid w:val="005803BC"/>
    <w:rsid w:val="005A54E3"/>
    <w:rsid w:val="005D2F4E"/>
    <w:rsid w:val="00622004"/>
    <w:rsid w:val="00846AC7"/>
    <w:rsid w:val="008F6B63"/>
    <w:rsid w:val="00A65383"/>
    <w:rsid w:val="00A8675C"/>
    <w:rsid w:val="00C12CFD"/>
    <w:rsid w:val="00D34AA8"/>
    <w:rsid w:val="00D73C63"/>
    <w:rsid w:val="00F02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E23351"/>
  <w15:chartTrackingRefBased/>
  <w15:docId w15:val="{A51DA1FD-3658-4974-AA55-FCB91EAB3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028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028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028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028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028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028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028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028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028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028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028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028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028D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028D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028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028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028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028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028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028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028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028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028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028D0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028D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028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028D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028D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119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119B4"/>
  </w:style>
  <w:style w:type="paragraph" w:styleId="Piedepgina">
    <w:name w:val="footer"/>
    <w:basedOn w:val="Normal"/>
    <w:link w:val="PiedepginaCar"/>
    <w:uiPriority w:val="99"/>
    <w:unhideWhenUsed/>
    <w:rsid w:val="000119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119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BFDFC6-1CAC-45E5-98D2-E0D98ABEE9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5</Pages>
  <Words>1127</Words>
  <Characters>6199</Characters>
  <Application>Microsoft Office Word</Application>
  <DocSecurity>0</DocSecurity>
  <Lines>51</Lines>
  <Paragraphs>14</Paragraphs>
  <ScaleCrop>false</ScaleCrop>
  <Company/>
  <LinksUpToDate>false</LinksUpToDate>
  <CharactersWithSpaces>7312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7</cp:revision>
  <dcterms:created xsi:type="dcterms:W3CDTF">2025-11-20T07:41:00Z</dcterms:created>
  <dcterms:modified xsi:type="dcterms:W3CDTF">2026-01-22T16:39:00Z</dcterms:modified>
</cp:coreProperties>
</file>