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E351" w14:textId="77777777" w:rsidR="00BD7D9D" w:rsidRPr="002632DE" w:rsidRDefault="00BD7D9D" w:rsidP="001C4C6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632DE">
        <w:rPr>
          <w:rFonts w:ascii="Cambria" w:hAnsi="Cambria"/>
          <w:b/>
          <w:bCs/>
          <w:color w:val="auto"/>
          <w:sz w:val="28"/>
          <w:szCs w:val="28"/>
        </w:rPr>
        <w:t>1. Introducción y Contexto</w:t>
      </w:r>
    </w:p>
    <w:p w14:paraId="378858C4" w14:textId="52821A3B" w:rsidR="00BD7D9D" w:rsidRPr="002632DE" w:rsidRDefault="00BD7D9D" w:rsidP="001C4C67">
      <w:pPr>
        <w:numPr>
          <w:ilvl w:val="0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Contexto económico:</w:t>
      </w:r>
    </w:p>
    <w:p w14:paraId="04C235D7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Evolución de España de la autarquía a la apertura internacional (Hitos: Plan de Estabilización 1959, CEE 1986, OMC 1995).</w:t>
      </w:r>
    </w:p>
    <w:p w14:paraId="29983C65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Necesidad de las empresas de internacionalizarse ante la competencia global.</w:t>
      </w:r>
    </w:p>
    <w:p w14:paraId="5051A683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Apoyo público mediante instrumentos comerciales, fiscales y financieros (CESCE, ICO, FIEM).</w:t>
      </w:r>
    </w:p>
    <w:p w14:paraId="676DD5CA" w14:textId="77777777" w:rsidR="00BD7D9D" w:rsidRPr="002632DE" w:rsidRDefault="00BD7D9D" w:rsidP="001C4C67">
      <w:pPr>
        <w:numPr>
          <w:ilvl w:val="0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Elección del medio de pago:</w:t>
      </w:r>
    </w:p>
    <w:p w14:paraId="7BAF9D4A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Depende de: Confianza mutua, solvencia, situación del mercado y riesgo-país.</w:t>
      </w:r>
    </w:p>
    <w:p w14:paraId="1B322A34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Equilibrio entre seguridad y coste (a mayor seguridad, mayores gastos).</w:t>
      </w:r>
    </w:p>
    <w:p w14:paraId="6E89CC5A" w14:textId="77777777" w:rsidR="00BD7D9D" w:rsidRPr="002632DE" w:rsidRDefault="00BD7D9D" w:rsidP="001C4C67">
      <w:pPr>
        <w:numPr>
          <w:ilvl w:val="0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Clasificación por seguridad:</w:t>
      </w:r>
    </w:p>
    <w:p w14:paraId="37719321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Baja (No documentales):</w:t>
      </w:r>
      <w:r w:rsidRPr="002632DE">
        <w:rPr>
          <w:rFonts w:ascii="Cambria" w:hAnsi="Cambria"/>
        </w:rPr>
        <w:t xml:space="preserve"> Billetes, cheque (personal/bancario), transferencia, orden de pago.</w:t>
      </w:r>
    </w:p>
    <w:p w14:paraId="1B262B56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Media:</w:t>
      </w:r>
      <w:r w:rsidRPr="002632DE">
        <w:rPr>
          <w:rFonts w:ascii="Cambria" w:hAnsi="Cambria"/>
        </w:rPr>
        <w:t xml:space="preserve"> Remesa simple y documentaria.</w:t>
      </w:r>
    </w:p>
    <w:p w14:paraId="22594D9F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Alta (Documentales exclusivos de comercio exterior):</w:t>
      </w:r>
      <w:r w:rsidRPr="002632DE">
        <w:rPr>
          <w:rFonts w:ascii="Cambria" w:hAnsi="Cambria"/>
        </w:rPr>
        <w:t xml:space="preserve"> Crédito documentario y Carta de crédito comercial.</w:t>
      </w:r>
    </w:p>
    <w:p w14:paraId="57039C42" w14:textId="77777777" w:rsidR="00BD7D9D" w:rsidRPr="002632DE" w:rsidRDefault="00BD7D9D" w:rsidP="001C4C67">
      <w:pPr>
        <w:numPr>
          <w:ilvl w:val="0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Clasificación por momento del pago:</w:t>
      </w:r>
    </w:p>
    <w:p w14:paraId="408E8577" w14:textId="77777777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Pago por adelantado:</w:t>
      </w:r>
      <w:r w:rsidRPr="002632DE">
        <w:rPr>
          <w:rFonts w:ascii="Cambria" w:hAnsi="Cambria"/>
        </w:rPr>
        <w:t xml:space="preserve"> Ventaja para el vendedor (financiación, nulo riesgo). Desventaja para comprador.</w:t>
      </w:r>
    </w:p>
    <w:p w14:paraId="36A2F8E1" w14:textId="2B9581FA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Pago a la Vista:</w:t>
      </w:r>
      <w:r w:rsidRPr="002632DE">
        <w:rPr>
          <w:rFonts w:ascii="Cambria" w:hAnsi="Cambria"/>
        </w:rPr>
        <w:t xml:space="preserve"> Simultáneo a la entrega de documentos. Equilibrado.</w:t>
      </w:r>
    </w:p>
    <w:p w14:paraId="253290A1" w14:textId="0156E5B5" w:rsidR="00BD7D9D" w:rsidRPr="002632DE" w:rsidRDefault="00BD7D9D" w:rsidP="001C4C67">
      <w:pPr>
        <w:numPr>
          <w:ilvl w:val="1"/>
          <w:numId w:val="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Pago a Plazo:</w:t>
      </w:r>
      <w:r w:rsidRPr="002632DE">
        <w:rPr>
          <w:rFonts w:ascii="Cambria" w:hAnsi="Cambria"/>
        </w:rPr>
        <w:t xml:space="preserve"> Ventaja para el comprador (recibe mercancía antes de pagar). Riesgo para el vendedor.</w:t>
      </w:r>
    </w:p>
    <w:p w14:paraId="1FE32F81" w14:textId="645AD453" w:rsidR="00BD7D9D" w:rsidRPr="002632DE" w:rsidRDefault="00BD7D9D" w:rsidP="001C4C6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632DE">
        <w:rPr>
          <w:rFonts w:ascii="Cambria" w:hAnsi="Cambria"/>
          <w:b/>
          <w:bCs/>
          <w:color w:val="auto"/>
          <w:sz w:val="28"/>
          <w:szCs w:val="28"/>
        </w:rPr>
        <w:t xml:space="preserve">2. Medios de Pago No Documentales </w:t>
      </w:r>
    </w:p>
    <w:p w14:paraId="69A2387C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2.1. Billetes de Banco</w:t>
      </w:r>
    </w:p>
    <w:p w14:paraId="0F5DD7F9" w14:textId="138ABA43" w:rsidR="00BD7D9D" w:rsidRPr="002632DE" w:rsidRDefault="00BD7D9D" w:rsidP="001C4C67">
      <w:pPr>
        <w:numPr>
          <w:ilvl w:val="0"/>
          <w:numId w:val="2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Características:</w:t>
      </w:r>
      <w:r w:rsidRPr="002632DE">
        <w:rPr>
          <w:rFonts w:ascii="Cambria" w:hAnsi="Cambria"/>
        </w:rPr>
        <w:t xml:space="preserve"> Uso de moneda física. Poco habitual en comercio de mercancías </w:t>
      </w:r>
      <w:r w:rsidR="001C4C67" w:rsidRPr="002632DE">
        <w:rPr>
          <w:rFonts w:ascii="Cambria" w:hAnsi="Cambria"/>
        </w:rPr>
        <w:t>(</w:t>
      </w:r>
      <w:r w:rsidRPr="002632DE">
        <w:rPr>
          <w:rFonts w:ascii="Cambria" w:hAnsi="Cambria"/>
        </w:rPr>
        <w:t>turismo).</w:t>
      </w:r>
    </w:p>
    <w:p w14:paraId="1E3326A7" w14:textId="77777777" w:rsidR="00BD7D9D" w:rsidRPr="002632DE" w:rsidRDefault="00BD7D9D" w:rsidP="001C4C67">
      <w:pPr>
        <w:numPr>
          <w:ilvl w:val="0"/>
          <w:numId w:val="2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Riesgos:</w:t>
      </w:r>
      <w:r w:rsidRPr="002632DE">
        <w:rPr>
          <w:rFonts w:ascii="Cambria" w:hAnsi="Cambria"/>
        </w:rPr>
        <w:t xml:space="preserve"> Extravío, robo, falsificación, costes de cambio.</w:t>
      </w:r>
    </w:p>
    <w:p w14:paraId="2B5E9B2D" w14:textId="77777777" w:rsidR="00BD7D9D" w:rsidRPr="002632DE" w:rsidRDefault="00BD7D9D" w:rsidP="001C4C67">
      <w:pPr>
        <w:numPr>
          <w:ilvl w:val="0"/>
          <w:numId w:val="2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lastRenderedPageBreak/>
        <w:t>Normativa:</w:t>
      </w:r>
      <w:r w:rsidRPr="002632DE">
        <w:rPr>
          <w:rFonts w:ascii="Cambria" w:hAnsi="Cambria"/>
        </w:rPr>
        <w:t xml:space="preserve"> En España, obligación de declarar movimientos iguales o superiores a 10.000€ (Ley 10/2010).</w:t>
      </w:r>
    </w:p>
    <w:p w14:paraId="6773E443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2.2. Cheques</w:t>
      </w:r>
    </w:p>
    <w:p w14:paraId="6408D327" w14:textId="77777777" w:rsidR="00BD7D9D" w:rsidRPr="002632DE" w:rsidRDefault="00BD7D9D" w:rsidP="001C4C67">
      <w:pPr>
        <w:numPr>
          <w:ilvl w:val="0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Concepto:</w:t>
      </w:r>
      <w:r w:rsidRPr="002632DE">
        <w:rPr>
          <w:rFonts w:ascii="Cambria" w:hAnsi="Cambria"/>
        </w:rPr>
        <w:t xml:space="preserve"> Documento que confiere derecho de cobro. Declaración obligatoria si supera los 10.000€.</w:t>
      </w:r>
    </w:p>
    <w:p w14:paraId="41995FD3" w14:textId="77777777" w:rsidR="00BD7D9D" w:rsidRPr="002632DE" w:rsidRDefault="00BD7D9D" w:rsidP="001C4C67">
      <w:pPr>
        <w:numPr>
          <w:ilvl w:val="0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Tipos:</w:t>
      </w:r>
    </w:p>
    <w:p w14:paraId="33FE07A1" w14:textId="77777777" w:rsidR="00BD7D9D" w:rsidRPr="002632DE" w:rsidRDefault="00BD7D9D" w:rsidP="001C4C67">
      <w:pPr>
        <w:numPr>
          <w:ilvl w:val="1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Cheque Personal:</w:t>
      </w:r>
    </w:p>
    <w:p w14:paraId="33778D7F" w14:textId="77777777" w:rsidR="00BD7D9D" w:rsidRPr="002632DE" w:rsidRDefault="00BD7D9D" w:rsidP="001C4C67">
      <w:pPr>
        <w:numPr>
          <w:ilvl w:val="2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Emitido por el importador (librador) contra su cuenta.</w:t>
      </w:r>
    </w:p>
    <w:p w14:paraId="0C7C0B18" w14:textId="0C4EA08D" w:rsidR="00BD7D9D" w:rsidRPr="002632DE" w:rsidRDefault="00BD7D9D" w:rsidP="001C4C67">
      <w:pPr>
        <w:numPr>
          <w:ilvl w:val="2"/>
          <w:numId w:val="3"/>
        </w:numPr>
        <w:jc w:val="both"/>
        <w:rPr>
          <w:rFonts w:ascii="Cambria" w:hAnsi="Cambria"/>
        </w:rPr>
      </w:pPr>
      <w:proofErr w:type="gramStart"/>
      <w:r w:rsidRPr="002632DE">
        <w:rPr>
          <w:rFonts w:ascii="Cambria" w:hAnsi="Cambria"/>
        </w:rPr>
        <w:t>Ventaja importador</w:t>
      </w:r>
      <w:proofErr w:type="gramEnd"/>
      <w:r w:rsidRPr="002632DE">
        <w:rPr>
          <w:rFonts w:ascii="Cambria" w:hAnsi="Cambria"/>
        </w:rPr>
        <w:t>: Financiación gratuita y facilidad.</w:t>
      </w:r>
    </w:p>
    <w:p w14:paraId="0DC255EA" w14:textId="77777777" w:rsidR="00BD7D9D" w:rsidRPr="002632DE" w:rsidRDefault="00BD7D9D" w:rsidP="001C4C67">
      <w:pPr>
        <w:numPr>
          <w:ilvl w:val="2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 xml:space="preserve">Inconveniente exportador: Inseguridad en </w:t>
      </w:r>
      <w:proofErr w:type="gramStart"/>
      <w:r w:rsidRPr="002632DE">
        <w:rPr>
          <w:rFonts w:ascii="Cambria" w:hAnsi="Cambria"/>
        </w:rPr>
        <w:t>recepción</w:t>
      </w:r>
      <w:proofErr w:type="gramEnd"/>
      <w:r w:rsidRPr="002632DE">
        <w:rPr>
          <w:rFonts w:ascii="Cambria" w:hAnsi="Cambria"/>
        </w:rPr>
        <w:t xml:space="preserve"> y cobro (depende de provisión de fondos).</w:t>
      </w:r>
    </w:p>
    <w:p w14:paraId="73669C57" w14:textId="77777777" w:rsidR="00BD7D9D" w:rsidRPr="002632DE" w:rsidRDefault="00BD7D9D" w:rsidP="001C4C67">
      <w:pPr>
        <w:numPr>
          <w:ilvl w:val="1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Cheque Bancario:</w:t>
      </w:r>
    </w:p>
    <w:p w14:paraId="4288A77F" w14:textId="77777777" w:rsidR="00BD7D9D" w:rsidRPr="002632DE" w:rsidRDefault="00BD7D9D" w:rsidP="001C4C67">
      <w:pPr>
        <w:numPr>
          <w:ilvl w:val="2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Emitido por una entidad financiera a petición del importador.</w:t>
      </w:r>
    </w:p>
    <w:p w14:paraId="0F8E9093" w14:textId="77777777" w:rsidR="00BD7D9D" w:rsidRPr="002632DE" w:rsidRDefault="00BD7D9D" w:rsidP="001C4C67">
      <w:pPr>
        <w:numPr>
          <w:ilvl w:val="2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Mayor seguridad para el exportador (garantía bancaria).</w:t>
      </w:r>
    </w:p>
    <w:p w14:paraId="6B4D1E48" w14:textId="77777777" w:rsidR="00BD7D9D" w:rsidRPr="002632DE" w:rsidRDefault="00BD7D9D" w:rsidP="001C4C67">
      <w:pPr>
        <w:numPr>
          <w:ilvl w:val="2"/>
          <w:numId w:val="3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El importador pierde la ventaja de financiación del cheque personal.</w:t>
      </w:r>
    </w:p>
    <w:p w14:paraId="088FA9EB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2.3. Transferencia Bancaria</w:t>
      </w:r>
    </w:p>
    <w:p w14:paraId="0A76564B" w14:textId="3F71F1C7" w:rsidR="00BD7D9D" w:rsidRPr="002632DE" w:rsidRDefault="00BD7D9D" w:rsidP="001C4C67">
      <w:pPr>
        <w:numPr>
          <w:ilvl w:val="0"/>
          <w:numId w:val="4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Concepto:</w:t>
      </w:r>
      <w:r w:rsidRPr="002632DE">
        <w:rPr>
          <w:rFonts w:ascii="Cambria" w:hAnsi="Cambria"/>
        </w:rPr>
        <w:t xml:space="preserve"> Orden de pago del importador a su banco para abonar fondos en la cuenta del exportador. </w:t>
      </w:r>
    </w:p>
    <w:p w14:paraId="78D93E61" w14:textId="77777777" w:rsidR="00BD7D9D" w:rsidRPr="002632DE" w:rsidRDefault="00BD7D9D" w:rsidP="001C4C67">
      <w:pPr>
        <w:numPr>
          <w:ilvl w:val="0"/>
          <w:numId w:val="4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Uso:</w:t>
      </w:r>
      <w:r w:rsidRPr="002632DE">
        <w:rPr>
          <w:rFonts w:ascii="Cambria" w:hAnsi="Cambria"/>
        </w:rPr>
        <w:t xml:space="preserve"> Muy frecuente cuando hay confianza. Bajo coste, rapidez y comodidad.</w:t>
      </w:r>
    </w:p>
    <w:p w14:paraId="413B05DA" w14:textId="77777777" w:rsidR="00BD7D9D" w:rsidRPr="002632DE" w:rsidRDefault="00BD7D9D" w:rsidP="001C4C67">
      <w:pPr>
        <w:numPr>
          <w:ilvl w:val="0"/>
          <w:numId w:val="4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Operativa:</w:t>
      </w:r>
      <w:r w:rsidRPr="002632DE">
        <w:rPr>
          <w:rFonts w:ascii="Cambria" w:hAnsi="Cambria"/>
        </w:rPr>
        <w:t xml:space="preserve"> Envío vía sistema SWIFT (mensajería interbancaria segura y estandarizada).</w:t>
      </w:r>
    </w:p>
    <w:p w14:paraId="105C445B" w14:textId="77777777" w:rsidR="00BD7D9D" w:rsidRPr="002632DE" w:rsidRDefault="00BD7D9D" w:rsidP="001C4C67">
      <w:pPr>
        <w:numPr>
          <w:ilvl w:val="0"/>
          <w:numId w:val="4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Normativa:</w:t>
      </w:r>
      <w:r w:rsidRPr="002632DE">
        <w:rPr>
          <w:rFonts w:ascii="Cambria" w:hAnsi="Cambria"/>
        </w:rPr>
        <w:t xml:space="preserve"> Declaración obligatoria si supera los 10.000€.</w:t>
      </w:r>
    </w:p>
    <w:p w14:paraId="3EB70776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2.4. Orden de Pago</w:t>
      </w:r>
    </w:p>
    <w:p w14:paraId="0EA620BF" w14:textId="77777777" w:rsidR="00BD7D9D" w:rsidRPr="002632DE" w:rsidRDefault="00BD7D9D" w:rsidP="001C4C67">
      <w:pPr>
        <w:numPr>
          <w:ilvl w:val="0"/>
          <w:numId w:val="5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Similar a la transferencia, pero la liquidación se realiza por caja (ventanilla) contra recibo, no mediante abono en cuenta.</w:t>
      </w:r>
    </w:p>
    <w:p w14:paraId="164301ED" w14:textId="77777777" w:rsidR="00BD7D9D" w:rsidRPr="002632DE" w:rsidRDefault="00BD7D9D" w:rsidP="001C4C6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632DE">
        <w:rPr>
          <w:rFonts w:ascii="Cambria" w:hAnsi="Cambria"/>
          <w:b/>
          <w:bCs/>
          <w:color w:val="auto"/>
          <w:sz w:val="28"/>
          <w:szCs w:val="28"/>
        </w:rPr>
        <w:t>3. Medios de Pago Documentales</w:t>
      </w:r>
    </w:p>
    <w:p w14:paraId="23AD9FF7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3.1. Conceptos previos</w:t>
      </w:r>
    </w:p>
    <w:p w14:paraId="56DE896A" w14:textId="77777777" w:rsidR="00BD7D9D" w:rsidRPr="002632DE" w:rsidRDefault="00BD7D9D" w:rsidP="001C4C67">
      <w:pPr>
        <w:numPr>
          <w:ilvl w:val="0"/>
          <w:numId w:val="6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Documentos financieros:</w:t>
      </w:r>
      <w:r w:rsidRPr="002632DE">
        <w:rPr>
          <w:rFonts w:ascii="Cambria" w:hAnsi="Cambria"/>
        </w:rPr>
        <w:t xml:space="preserve"> Efectos de cobro (letras, pagarés, cheques).</w:t>
      </w:r>
    </w:p>
    <w:p w14:paraId="324A9AAC" w14:textId="77777777" w:rsidR="00BD7D9D" w:rsidRPr="002632DE" w:rsidRDefault="00BD7D9D" w:rsidP="001C4C67">
      <w:pPr>
        <w:numPr>
          <w:ilvl w:val="0"/>
          <w:numId w:val="6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lastRenderedPageBreak/>
        <w:t>Documentos comerciales:</w:t>
      </w:r>
      <w:r w:rsidRPr="002632DE">
        <w:rPr>
          <w:rFonts w:ascii="Cambria" w:hAnsi="Cambria"/>
        </w:rPr>
        <w:t xml:space="preserve"> Prueban cumplimiento del contrato y dan posesión de mercancía (facturas, documentos de transporte).</w:t>
      </w:r>
    </w:p>
    <w:p w14:paraId="731C994A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3.2. Remesa Simple</w:t>
      </w:r>
    </w:p>
    <w:p w14:paraId="2B319FCC" w14:textId="77777777" w:rsidR="00BD7D9D" w:rsidRPr="002632DE" w:rsidRDefault="00BD7D9D" w:rsidP="001C4C67">
      <w:pPr>
        <w:numPr>
          <w:ilvl w:val="0"/>
          <w:numId w:val="7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Definición:</w:t>
      </w:r>
      <w:r w:rsidRPr="002632DE">
        <w:rPr>
          <w:rFonts w:ascii="Cambria" w:hAnsi="Cambria"/>
        </w:rPr>
        <w:t xml:space="preserve"> Gestión de cobro solo de documentos financieros.</w:t>
      </w:r>
    </w:p>
    <w:p w14:paraId="29CC2EF3" w14:textId="77777777" w:rsidR="00BD7D9D" w:rsidRPr="002632DE" w:rsidRDefault="00BD7D9D" w:rsidP="001C4C67">
      <w:pPr>
        <w:numPr>
          <w:ilvl w:val="0"/>
          <w:numId w:val="7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Operativa:</w:t>
      </w:r>
    </w:p>
    <w:p w14:paraId="1931F1F4" w14:textId="77777777" w:rsidR="00BD7D9D" w:rsidRPr="002632DE" w:rsidRDefault="00BD7D9D" w:rsidP="001C4C67">
      <w:pPr>
        <w:numPr>
          <w:ilvl w:val="1"/>
          <w:numId w:val="7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Exportador envía mercancía y documentos comerciales directamente al importador.</w:t>
      </w:r>
    </w:p>
    <w:p w14:paraId="2C1BD0AB" w14:textId="77777777" w:rsidR="00BD7D9D" w:rsidRPr="002632DE" w:rsidRDefault="00BD7D9D" w:rsidP="001C4C67">
      <w:pPr>
        <w:numPr>
          <w:ilvl w:val="1"/>
          <w:numId w:val="7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Exportador envía documentos financieros al banco para su cobro.</w:t>
      </w:r>
    </w:p>
    <w:p w14:paraId="4220FE59" w14:textId="77777777" w:rsidR="00BD7D9D" w:rsidRPr="002632DE" w:rsidRDefault="00BD7D9D" w:rsidP="001C4C67">
      <w:pPr>
        <w:numPr>
          <w:ilvl w:val="0"/>
          <w:numId w:val="7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Riesgo:</w:t>
      </w:r>
      <w:r w:rsidRPr="002632DE">
        <w:rPr>
          <w:rFonts w:ascii="Cambria" w:hAnsi="Cambria"/>
        </w:rPr>
        <w:t xml:space="preserve"> Alto para el exportador (entrega la propiedad de la mercancía antes de asegurar el cobro). Requiere máxima confianza.</w:t>
      </w:r>
    </w:p>
    <w:p w14:paraId="06CA6817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3.3. Remesa Documentaria</w:t>
      </w:r>
    </w:p>
    <w:p w14:paraId="1E07DFF9" w14:textId="77777777" w:rsidR="00BD7D9D" w:rsidRPr="002632DE" w:rsidRDefault="00BD7D9D" w:rsidP="001C4C67">
      <w:pPr>
        <w:numPr>
          <w:ilvl w:val="0"/>
          <w:numId w:val="8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Definición:</w:t>
      </w:r>
      <w:r w:rsidRPr="002632DE">
        <w:rPr>
          <w:rFonts w:ascii="Cambria" w:hAnsi="Cambria"/>
        </w:rPr>
        <w:t xml:space="preserve"> Gestión de cobro donde el banco entrega los documentos comerciales (propiedad) solo contra pago o aceptación de efectos financieros.</w:t>
      </w:r>
    </w:p>
    <w:p w14:paraId="2F280DFA" w14:textId="77777777" w:rsidR="00BD7D9D" w:rsidRPr="002632DE" w:rsidRDefault="00BD7D9D" w:rsidP="001C4C67">
      <w:pPr>
        <w:numPr>
          <w:ilvl w:val="0"/>
          <w:numId w:val="8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Carácter:</w:t>
      </w:r>
      <w:r w:rsidRPr="002632DE">
        <w:rPr>
          <w:rFonts w:ascii="Cambria" w:hAnsi="Cambria"/>
        </w:rPr>
        <w:t xml:space="preserve"> Medio "de desconfianza". Más seguro que la simple.</w:t>
      </w:r>
    </w:p>
    <w:p w14:paraId="2EAD0457" w14:textId="77777777" w:rsidR="00BD7D9D" w:rsidRPr="002632DE" w:rsidRDefault="00BD7D9D" w:rsidP="001C4C67">
      <w:pPr>
        <w:numPr>
          <w:ilvl w:val="0"/>
          <w:numId w:val="8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Procedimientos de entrega:</w:t>
      </w:r>
    </w:p>
    <w:p w14:paraId="3E8C5340" w14:textId="77777777" w:rsidR="00BD7D9D" w:rsidRPr="002632DE" w:rsidRDefault="00BD7D9D" w:rsidP="001C4C67">
      <w:pPr>
        <w:numPr>
          <w:ilvl w:val="1"/>
          <w:numId w:val="8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Contra pago (DAP):</w:t>
      </w:r>
      <w:r w:rsidRPr="002632DE">
        <w:rPr>
          <w:rFonts w:ascii="Cambria" w:hAnsi="Cambria"/>
        </w:rPr>
        <w:t xml:space="preserve"> Pago a la vista para retirar documentos.</w:t>
      </w:r>
    </w:p>
    <w:p w14:paraId="28628954" w14:textId="77777777" w:rsidR="00BD7D9D" w:rsidRPr="002632DE" w:rsidRDefault="00BD7D9D" w:rsidP="001C4C67">
      <w:pPr>
        <w:numPr>
          <w:ilvl w:val="1"/>
          <w:numId w:val="8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Contra aceptación (DAA):</w:t>
      </w:r>
      <w:r w:rsidRPr="002632DE">
        <w:rPr>
          <w:rFonts w:ascii="Cambria" w:hAnsi="Cambria"/>
        </w:rPr>
        <w:t xml:space="preserve"> Aceptación de efecto a plazo para retirar documentos.</w:t>
      </w:r>
    </w:p>
    <w:p w14:paraId="673B3581" w14:textId="77777777" w:rsidR="00BD7D9D" w:rsidRPr="002632DE" w:rsidRDefault="00BD7D9D" w:rsidP="001C4C67">
      <w:pPr>
        <w:numPr>
          <w:ilvl w:val="1"/>
          <w:numId w:val="8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 xml:space="preserve">Trust </w:t>
      </w:r>
      <w:proofErr w:type="spellStart"/>
      <w:r w:rsidRPr="002632DE">
        <w:rPr>
          <w:rFonts w:ascii="Cambria" w:hAnsi="Cambria"/>
          <w:b/>
          <w:bCs/>
        </w:rPr>
        <w:t>Receipt</w:t>
      </w:r>
      <w:proofErr w:type="spellEnd"/>
      <w:r w:rsidRPr="002632DE">
        <w:rPr>
          <w:rFonts w:ascii="Cambria" w:hAnsi="Cambria"/>
          <w:b/>
          <w:bCs/>
        </w:rPr>
        <w:t>:</w:t>
      </w:r>
      <w:r w:rsidRPr="002632DE">
        <w:rPr>
          <w:rFonts w:ascii="Cambria" w:hAnsi="Cambria"/>
        </w:rPr>
        <w:t xml:space="preserve"> Entrega anticipada en depósito (fideicomiso) antes del pago (común en </w:t>
      </w:r>
      <w:proofErr w:type="gramStart"/>
      <w:r w:rsidRPr="002632DE">
        <w:rPr>
          <w:rFonts w:ascii="Cambria" w:hAnsi="Cambria"/>
        </w:rPr>
        <w:t>EEUU</w:t>
      </w:r>
      <w:proofErr w:type="gramEnd"/>
      <w:r w:rsidRPr="002632DE">
        <w:rPr>
          <w:rFonts w:ascii="Cambria" w:hAnsi="Cambria"/>
        </w:rPr>
        <w:t>).</w:t>
      </w:r>
    </w:p>
    <w:p w14:paraId="65807578" w14:textId="77777777" w:rsidR="00BD7D9D" w:rsidRPr="002632DE" w:rsidRDefault="00BD7D9D" w:rsidP="001C4C67">
      <w:pPr>
        <w:numPr>
          <w:ilvl w:val="0"/>
          <w:numId w:val="8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Marco regulador:</w:t>
      </w:r>
      <w:r w:rsidRPr="002632DE">
        <w:rPr>
          <w:rFonts w:ascii="Cambria" w:hAnsi="Cambria"/>
        </w:rPr>
        <w:t xml:space="preserve"> Reglas de la Cámara de Comercio Internacional (CCI).</w:t>
      </w:r>
    </w:p>
    <w:p w14:paraId="0C27741C" w14:textId="77777777" w:rsidR="00BD7D9D" w:rsidRPr="002632DE" w:rsidRDefault="00BD7D9D" w:rsidP="001C4C6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632DE">
        <w:rPr>
          <w:rFonts w:ascii="Cambria" w:hAnsi="Cambria"/>
          <w:b/>
          <w:bCs/>
          <w:color w:val="auto"/>
          <w:sz w:val="28"/>
          <w:szCs w:val="28"/>
        </w:rPr>
        <w:t>4. Crédito Documentario</w:t>
      </w:r>
    </w:p>
    <w:p w14:paraId="609DFEC8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4.1. Concepto y Características</w:t>
      </w:r>
    </w:p>
    <w:p w14:paraId="284429BB" w14:textId="77777777" w:rsidR="00BD7D9D" w:rsidRPr="002632DE" w:rsidRDefault="00BD7D9D" w:rsidP="001C4C67">
      <w:pPr>
        <w:numPr>
          <w:ilvl w:val="0"/>
          <w:numId w:val="9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Compromiso de pago condicional del banco del importador (emisor) a favor del exportador (beneficiario) contra presentación de documentos conformes.</w:t>
      </w:r>
    </w:p>
    <w:p w14:paraId="5A01B410" w14:textId="77777777" w:rsidR="00BD7D9D" w:rsidRPr="002632DE" w:rsidRDefault="00BD7D9D" w:rsidP="001C4C67">
      <w:pPr>
        <w:numPr>
          <w:ilvl w:val="0"/>
          <w:numId w:val="9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Nivel de seguridad:</w:t>
      </w:r>
      <w:r w:rsidRPr="002632DE">
        <w:rPr>
          <w:rFonts w:ascii="Cambria" w:hAnsi="Cambria"/>
        </w:rPr>
        <w:t xml:space="preserve"> Máxima. Medio más empleado en comercio internacional.</w:t>
      </w:r>
    </w:p>
    <w:p w14:paraId="0E65AE72" w14:textId="77777777" w:rsidR="00BD7D9D" w:rsidRPr="002632DE" w:rsidRDefault="00BD7D9D" w:rsidP="001C4C67">
      <w:pPr>
        <w:numPr>
          <w:ilvl w:val="0"/>
          <w:numId w:val="9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Regulación:</w:t>
      </w:r>
      <w:r w:rsidRPr="002632DE">
        <w:rPr>
          <w:rFonts w:ascii="Cambria" w:hAnsi="Cambria"/>
        </w:rPr>
        <w:t xml:space="preserve"> Reglas y Usos Uniformes (UCP 600) de la CCI.</w:t>
      </w:r>
    </w:p>
    <w:p w14:paraId="6DE1FCB7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4.2. Intervinientes</w:t>
      </w:r>
    </w:p>
    <w:p w14:paraId="11A8E641" w14:textId="77777777" w:rsidR="00BD7D9D" w:rsidRPr="002632DE" w:rsidRDefault="00BD7D9D" w:rsidP="001C4C67">
      <w:pPr>
        <w:numPr>
          <w:ilvl w:val="0"/>
          <w:numId w:val="10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Ordenante:</w:t>
      </w:r>
      <w:r w:rsidRPr="002632DE">
        <w:rPr>
          <w:rFonts w:ascii="Cambria" w:hAnsi="Cambria"/>
        </w:rPr>
        <w:t xml:space="preserve"> Importador. Da instrucciones de apertura.</w:t>
      </w:r>
    </w:p>
    <w:p w14:paraId="17960323" w14:textId="77777777" w:rsidR="00BD7D9D" w:rsidRPr="002632DE" w:rsidRDefault="00BD7D9D" w:rsidP="001C4C67">
      <w:pPr>
        <w:numPr>
          <w:ilvl w:val="0"/>
          <w:numId w:val="10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lastRenderedPageBreak/>
        <w:t>Banco Emisor:</w:t>
      </w:r>
      <w:r w:rsidRPr="002632DE">
        <w:rPr>
          <w:rFonts w:ascii="Cambria" w:hAnsi="Cambria"/>
        </w:rPr>
        <w:t xml:space="preserve"> Banco del importador. Asume compromiso firme de pago.</w:t>
      </w:r>
    </w:p>
    <w:p w14:paraId="7103200B" w14:textId="77777777" w:rsidR="00BD7D9D" w:rsidRPr="002632DE" w:rsidRDefault="00BD7D9D" w:rsidP="001C4C67">
      <w:pPr>
        <w:numPr>
          <w:ilvl w:val="0"/>
          <w:numId w:val="10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Beneficiario:</w:t>
      </w:r>
      <w:r w:rsidRPr="002632DE">
        <w:rPr>
          <w:rFonts w:ascii="Cambria" w:hAnsi="Cambria"/>
        </w:rPr>
        <w:t xml:space="preserve"> Exportador.</w:t>
      </w:r>
    </w:p>
    <w:p w14:paraId="1FF12708" w14:textId="77777777" w:rsidR="00BD7D9D" w:rsidRPr="002632DE" w:rsidRDefault="00BD7D9D" w:rsidP="001C4C67">
      <w:pPr>
        <w:numPr>
          <w:ilvl w:val="0"/>
          <w:numId w:val="10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Banco Avisador:</w:t>
      </w:r>
      <w:r w:rsidRPr="002632DE">
        <w:rPr>
          <w:rFonts w:ascii="Cambria" w:hAnsi="Cambria"/>
        </w:rPr>
        <w:t xml:space="preserve"> Notifica el crédito. Puede actuar también como </w:t>
      </w:r>
      <w:r w:rsidRPr="002632DE">
        <w:rPr>
          <w:rFonts w:ascii="Cambria" w:hAnsi="Cambria"/>
          <w:b/>
          <w:bCs/>
        </w:rPr>
        <w:t>Banco Confirmador</w:t>
      </w:r>
      <w:r w:rsidRPr="002632DE">
        <w:rPr>
          <w:rFonts w:ascii="Cambria" w:hAnsi="Cambria"/>
        </w:rPr>
        <w:t xml:space="preserve"> (añade su propia garantía de pago ante riesgo país/banco emisor).</w:t>
      </w:r>
    </w:p>
    <w:p w14:paraId="01731A14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4.3. Clasificación</w:t>
      </w:r>
    </w:p>
    <w:p w14:paraId="37BC1F46" w14:textId="77777777" w:rsidR="00BD7D9D" w:rsidRPr="002632DE" w:rsidRDefault="00BD7D9D" w:rsidP="001C4C67">
      <w:pPr>
        <w:numPr>
          <w:ilvl w:val="0"/>
          <w:numId w:val="1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Por seguridad:</w:t>
      </w:r>
    </w:p>
    <w:p w14:paraId="47088823" w14:textId="77777777" w:rsidR="00BD7D9D" w:rsidRPr="002632DE" w:rsidRDefault="00BD7D9D" w:rsidP="001C4C67">
      <w:pPr>
        <w:numPr>
          <w:ilvl w:val="1"/>
          <w:numId w:val="1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Confirmados:</w:t>
      </w:r>
      <w:r w:rsidRPr="002632DE">
        <w:rPr>
          <w:rFonts w:ascii="Cambria" w:hAnsi="Cambria"/>
        </w:rPr>
        <w:t xml:space="preserve"> Doble garantía (emisor + confirmador).</w:t>
      </w:r>
    </w:p>
    <w:p w14:paraId="2D5B8580" w14:textId="77777777" w:rsidR="00BD7D9D" w:rsidRPr="002632DE" w:rsidRDefault="00BD7D9D" w:rsidP="001C4C67">
      <w:pPr>
        <w:numPr>
          <w:ilvl w:val="1"/>
          <w:numId w:val="1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No confirmados:</w:t>
      </w:r>
      <w:r w:rsidRPr="002632DE">
        <w:rPr>
          <w:rFonts w:ascii="Cambria" w:hAnsi="Cambria"/>
        </w:rPr>
        <w:t xml:space="preserve"> Solo garantía del emisor. El avisador solo gestiona.</w:t>
      </w:r>
    </w:p>
    <w:p w14:paraId="2B1D50B9" w14:textId="77777777" w:rsidR="00BD7D9D" w:rsidRPr="002632DE" w:rsidRDefault="00BD7D9D" w:rsidP="001C4C67">
      <w:pPr>
        <w:numPr>
          <w:ilvl w:val="0"/>
          <w:numId w:val="1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Por plazo:</w:t>
      </w:r>
      <w:r w:rsidRPr="002632DE">
        <w:rPr>
          <w:rFonts w:ascii="Cambria" w:hAnsi="Cambria"/>
        </w:rPr>
        <w:t xml:space="preserve"> A la vista, pago diferido o mixto.</w:t>
      </w:r>
    </w:p>
    <w:p w14:paraId="1EAE9F27" w14:textId="77777777" w:rsidR="00BD7D9D" w:rsidRPr="002632DE" w:rsidRDefault="00BD7D9D" w:rsidP="001C4C67">
      <w:pPr>
        <w:numPr>
          <w:ilvl w:val="0"/>
          <w:numId w:val="1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Por lugar de pago:</w:t>
      </w:r>
      <w:r w:rsidRPr="002632DE">
        <w:rPr>
          <w:rFonts w:ascii="Cambria" w:hAnsi="Cambria"/>
        </w:rPr>
        <w:t xml:space="preserve"> Domiciliado, libremente negociable o en cajas del emisor/avisador.</w:t>
      </w:r>
    </w:p>
    <w:p w14:paraId="2C1C5BC2" w14:textId="55BC36E4" w:rsidR="00BD7D9D" w:rsidRPr="002632DE" w:rsidRDefault="00BD7D9D" w:rsidP="001C4C67">
      <w:pPr>
        <w:numPr>
          <w:ilvl w:val="0"/>
          <w:numId w:val="11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Por revocabilidad:</w:t>
      </w:r>
      <w:r w:rsidRPr="002632DE">
        <w:rPr>
          <w:rFonts w:ascii="Cambria" w:hAnsi="Cambria"/>
        </w:rPr>
        <w:t xml:space="preserve"> Según UCP 600, todos son irrevocables</w:t>
      </w:r>
    </w:p>
    <w:p w14:paraId="50ACC76C" w14:textId="3DCDAC65" w:rsidR="001C4C67" w:rsidRPr="002632DE" w:rsidRDefault="001C4C67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4.4 Procedimiento de utilización</w:t>
      </w:r>
    </w:p>
    <w:p w14:paraId="4F56BDA1" w14:textId="6996698E" w:rsidR="001C4C67" w:rsidRPr="002632DE" w:rsidRDefault="001C4C67" w:rsidP="001C4C67">
      <w:pPr>
        <w:jc w:val="both"/>
        <w:rPr>
          <w:rFonts w:ascii="Cambria" w:hAnsi="Cambria"/>
        </w:rPr>
      </w:pPr>
      <w:r w:rsidRPr="002632DE">
        <w:rPr>
          <w:rFonts w:ascii="Cambria" w:hAnsi="Cambria"/>
        </w:rPr>
        <w:t xml:space="preserve">Aspectos, clausulas y condiciones se deben negociar antes de la formalización del crédito documentario. </w:t>
      </w:r>
    </w:p>
    <w:p w14:paraId="56F8EAFB" w14:textId="01F8DD84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4.</w:t>
      </w:r>
      <w:r w:rsidR="001C4C67" w:rsidRPr="002632DE">
        <w:rPr>
          <w:rFonts w:ascii="Cambria" w:hAnsi="Cambria"/>
          <w:b/>
          <w:bCs/>
          <w:color w:val="auto"/>
          <w:sz w:val="24"/>
          <w:szCs w:val="24"/>
        </w:rPr>
        <w:t>5</w:t>
      </w:r>
      <w:r w:rsidRPr="002632DE">
        <w:rPr>
          <w:rFonts w:ascii="Cambria" w:hAnsi="Cambria"/>
          <w:b/>
          <w:bCs/>
          <w:color w:val="auto"/>
          <w:sz w:val="24"/>
          <w:szCs w:val="24"/>
        </w:rPr>
        <w:t>. Cláusulas Especiales</w:t>
      </w:r>
    </w:p>
    <w:p w14:paraId="265B804B" w14:textId="73559C34" w:rsidR="00BD7D9D" w:rsidRPr="002632DE" w:rsidRDefault="00BD7D9D" w:rsidP="001C4C67">
      <w:pPr>
        <w:numPr>
          <w:ilvl w:val="0"/>
          <w:numId w:val="12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Cláusula Roja (Red Clause):</w:t>
      </w:r>
      <w:r w:rsidRPr="002632DE">
        <w:rPr>
          <w:rFonts w:ascii="Cambria" w:hAnsi="Cambria"/>
        </w:rPr>
        <w:t xml:space="preserve"> Permite anticipos al exportador antes de presentar documentos</w:t>
      </w:r>
      <w:r w:rsidR="001C4C67" w:rsidRPr="002632DE">
        <w:rPr>
          <w:rFonts w:ascii="Cambria" w:hAnsi="Cambria"/>
        </w:rPr>
        <w:t>.</w:t>
      </w:r>
    </w:p>
    <w:p w14:paraId="1F55804F" w14:textId="77777777" w:rsidR="00BD7D9D" w:rsidRPr="002632DE" w:rsidRDefault="00BD7D9D" w:rsidP="001C4C67">
      <w:pPr>
        <w:numPr>
          <w:ilvl w:val="0"/>
          <w:numId w:val="12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Cláusula Verde (Green Clause):</w:t>
      </w:r>
      <w:r w:rsidRPr="002632DE">
        <w:rPr>
          <w:rFonts w:ascii="Cambria" w:hAnsi="Cambria"/>
        </w:rPr>
        <w:t xml:space="preserve"> Anticipo contra prueba de posesión de mercancía (ej. certificados de depósito).</w:t>
      </w:r>
    </w:p>
    <w:p w14:paraId="2E281FFB" w14:textId="797D36E7" w:rsidR="00BD7D9D" w:rsidRPr="002632DE" w:rsidRDefault="00BD7D9D" w:rsidP="001C4C67">
      <w:pPr>
        <w:numPr>
          <w:ilvl w:val="0"/>
          <w:numId w:val="12"/>
        </w:numPr>
        <w:jc w:val="both"/>
        <w:rPr>
          <w:rFonts w:ascii="Cambria" w:hAnsi="Cambria"/>
        </w:rPr>
      </w:pPr>
      <w:proofErr w:type="spellStart"/>
      <w:r w:rsidRPr="002632DE">
        <w:rPr>
          <w:rFonts w:ascii="Cambria" w:hAnsi="Cambria"/>
          <w:b/>
          <w:bCs/>
        </w:rPr>
        <w:t>Revolving</w:t>
      </w:r>
      <w:proofErr w:type="spellEnd"/>
      <w:r w:rsidR="001C4C67" w:rsidRPr="002632DE">
        <w:rPr>
          <w:rFonts w:ascii="Cambria" w:hAnsi="Cambria"/>
          <w:b/>
          <w:bCs/>
        </w:rPr>
        <w:t xml:space="preserve">: </w:t>
      </w:r>
      <w:r w:rsidRPr="002632DE">
        <w:rPr>
          <w:rFonts w:ascii="Cambria" w:hAnsi="Cambria"/>
        </w:rPr>
        <w:t>El importe se renueva automáticamente (envíos periódicos).</w:t>
      </w:r>
    </w:p>
    <w:p w14:paraId="545FAC62" w14:textId="218318FA" w:rsidR="00BD7D9D" w:rsidRPr="002632DE" w:rsidRDefault="00BD7D9D" w:rsidP="001C4C67">
      <w:pPr>
        <w:numPr>
          <w:ilvl w:val="0"/>
          <w:numId w:val="12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Transferible:</w:t>
      </w:r>
      <w:r w:rsidRPr="002632DE">
        <w:rPr>
          <w:rFonts w:ascii="Cambria" w:hAnsi="Cambria"/>
        </w:rPr>
        <w:t xml:space="preserve"> El beneficiario puede cederlo a un segundo beneficiario</w:t>
      </w:r>
      <w:r w:rsidR="001C4C67" w:rsidRPr="002632DE">
        <w:rPr>
          <w:rFonts w:ascii="Cambria" w:hAnsi="Cambria"/>
        </w:rPr>
        <w:t>.</w:t>
      </w:r>
    </w:p>
    <w:p w14:paraId="75652163" w14:textId="1526BF00" w:rsidR="00BD7D9D" w:rsidRPr="002632DE" w:rsidRDefault="001C4C67" w:rsidP="001C4C67">
      <w:pPr>
        <w:numPr>
          <w:ilvl w:val="0"/>
          <w:numId w:val="12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Respaldado</w:t>
      </w:r>
      <w:r w:rsidR="00BD7D9D" w:rsidRPr="002632DE">
        <w:rPr>
          <w:rFonts w:ascii="Cambria" w:hAnsi="Cambria"/>
          <w:b/>
          <w:bCs/>
        </w:rPr>
        <w:t>:</w:t>
      </w:r>
      <w:r w:rsidR="00BD7D9D" w:rsidRPr="002632DE">
        <w:rPr>
          <w:rFonts w:ascii="Cambria" w:hAnsi="Cambria"/>
        </w:rPr>
        <w:t xml:space="preserve"> Un crédito recibido sirve de garantía para abrir otro nuevo.</w:t>
      </w:r>
    </w:p>
    <w:p w14:paraId="43BEC17C" w14:textId="77777777" w:rsidR="00BD7D9D" w:rsidRPr="002632DE" w:rsidRDefault="00BD7D9D" w:rsidP="001C4C67">
      <w:pPr>
        <w:numPr>
          <w:ilvl w:val="0"/>
          <w:numId w:val="12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Stand-</w:t>
      </w:r>
      <w:proofErr w:type="spellStart"/>
      <w:r w:rsidRPr="002632DE">
        <w:rPr>
          <w:rFonts w:ascii="Cambria" w:hAnsi="Cambria"/>
          <w:b/>
          <w:bCs/>
        </w:rPr>
        <w:t>by</w:t>
      </w:r>
      <w:proofErr w:type="spellEnd"/>
      <w:r w:rsidRPr="002632DE">
        <w:rPr>
          <w:rFonts w:ascii="Cambria" w:hAnsi="Cambria"/>
          <w:b/>
          <w:bCs/>
        </w:rPr>
        <w:t>:</w:t>
      </w:r>
      <w:r w:rsidRPr="002632DE">
        <w:rPr>
          <w:rFonts w:ascii="Cambria" w:hAnsi="Cambria"/>
        </w:rPr>
        <w:t xml:space="preserve"> Aval bancario de ejecución en caso de incumplimiento (garantía de contingencia).</w:t>
      </w:r>
    </w:p>
    <w:p w14:paraId="081188E4" w14:textId="77777777" w:rsidR="00BD7D9D" w:rsidRPr="002632DE" w:rsidRDefault="00BD7D9D" w:rsidP="001C4C6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632DE">
        <w:rPr>
          <w:rFonts w:ascii="Cambria" w:hAnsi="Cambria"/>
          <w:b/>
          <w:bCs/>
          <w:color w:val="auto"/>
          <w:sz w:val="28"/>
          <w:szCs w:val="28"/>
        </w:rPr>
        <w:t>5. Carta de Crédito Comercial</w:t>
      </w:r>
    </w:p>
    <w:p w14:paraId="23BD5A50" w14:textId="77777777" w:rsidR="00BD7D9D" w:rsidRPr="002632DE" w:rsidRDefault="00BD7D9D" w:rsidP="001C4C67">
      <w:pPr>
        <w:numPr>
          <w:ilvl w:val="0"/>
          <w:numId w:val="13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 xml:space="preserve">Título utilizado por bancos de </w:t>
      </w:r>
      <w:proofErr w:type="gramStart"/>
      <w:r w:rsidRPr="002632DE">
        <w:rPr>
          <w:rFonts w:ascii="Cambria" w:hAnsi="Cambria"/>
        </w:rPr>
        <w:t>EEUU</w:t>
      </w:r>
      <w:proofErr w:type="gramEnd"/>
      <w:r w:rsidRPr="002632DE">
        <w:rPr>
          <w:rFonts w:ascii="Cambria" w:hAnsi="Cambria"/>
        </w:rPr>
        <w:t xml:space="preserve"> para el crédito documentario.</w:t>
      </w:r>
    </w:p>
    <w:p w14:paraId="323E6D7B" w14:textId="77777777" w:rsidR="00BD7D9D" w:rsidRPr="002632DE" w:rsidRDefault="00BD7D9D" w:rsidP="001C4C67">
      <w:pPr>
        <w:numPr>
          <w:ilvl w:val="0"/>
          <w:numId w:val="13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Diferencia principal:</w:t>
      </w:r>
      <w:r w:rsidRPr="002632DE">
        <w:rPr>
          <w:rFonts w:ascii="Cambria" w:hAnsi="Cambria"/>
        </w:rPr>
        <w:t xml:space="preserve"> No existe figura de banco avisador; el emisor envía la carta directamente al beneficiario.</w:t>
      </w:r>
    </w:p>
    <w:p w14:paraId="1FFAC6ED" w14:textId="77777777" w:rsidR="00BD7D9D" w:rsidRPr="002632DE" w:rsidRDefault="00BD7D9D" w:rsidP="001C4C6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632DE">
        <w:rPr>
          <w:rFonts w:ascii="Cambria" w:hAnsi="Cambria"/>
          <w:b/>
          <w:bCs/>
          <w:color w:val="auto"/>
          <w:sz w:val="28"/>
          <w:szCs w:val="28"/>
        </w:rPr>
        <w:lastRenderedPageBreak/>
        <w:t>6. Otros Instrumentos</w:t>
      </w:r>
    </w:p>
    <w:p w14:paraId="72AE3142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>6.1. Obligación de Pago Bancaria (BPO)</w:t>
      </w:r>
    </w:p>
    <w:p w14:paraId="1FA4B5E7" w14:textId="77777777" w:rsidR="00BD7D9D" w:rsidRPr="002632DE" w:rsidRDefault="00BD7D9D" w:rsidP="001C4C67">
      <w:pPr>
        <w:numPr>
          <w:ilvl w:val="0"/>
          <w:numId w:val="14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Compromiso irrevocable del banco emisor basado en el intercambio electrónico de datos.</w:t>
      </w:r>
    </w:p>
    <w:p w14:paraId="0CE31B63" w14:textId="77777777" w:rsidR="00BD7D9D" w:rsidRPr="002632DE" w:rsidRDefault="00BD7D9D" w:rsidP="001C4C67">
      <w:pPr>
        <w:numPr>
          <w:ilvl w:val="0"/>
          <w:numId w:val="14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Funcionamiento: Comparación automática de datos (</w:t>
      </w:r>
      <w:proofErr w:type="spellStart"/>
      <w:r w:rsidRPr="002632DE">
        <w:rPr>
          <w:rFonts w:ascii="Cambria" w:hAnsi="Cambria"/>
          <w:i/>
          <w:iCs/>
        </w:rPr>
        <w:t>matching</w:t>
      </w:r>
      <w:proofErr w:type="spellEnd"/>
      <w:r w:rsidRPr="002632DE">
        <w:rPr>
          <w:rFonts w:ascii="Cambria" w:hAnsi="Cambria"/>
        </w:rPr>
        <w:t>) en plataforma electrónica.</w:t>
      </w:r>
    </w:p>
    <w:p w14:paraId="7F9E6ED7" w14:textId="77777777" w:rsidR="00BD7D9D" w:rsidRPr="002632DE" w:rsidRDefault="00BD7D9D" w:rsidP="001C4C67">
      <w:pPr>
        <w:numPr>
          <w:ilvl w:val="0"/>
          <w:numId w:val="14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Ventajas: Más ágil y barato que el crédito documentario.</w:t>
      </w:r>
    </w:p>
    <w:p w14:paraId="7C0F320D" w14:textId="77777777" w:rsidR="00BD7D9D" w:rsidRPr="002632DE" w:rsidRDefault="00BD7D9D" w:rsidP="001C4C6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632DE">
        <w:rPr>
          <w:rFonts w:ascii="Cambria" w:hAnsi="Cambria"/>
          <w:b/>
          <w:bCs/>
          <w:color w:val="auto"/>
          <w:sz w:val="24"/>
          <w:szCs w:val="24"/>
        </w:rPr>
        <w:t xml:space="preserve">6.2. Zona Única de Pagos en </w:t>
      </w:r>
      <w:proofErr w:type="gramStart"/>
      <w:r w:rsidRPr="002632DE">
        <w:rPr>
          <w:rFonts w:ascii="Cambria" w:hAnsi="Cambria"/>
          <w:b/>
          <w:bCs/>
          <w:color w:val="auto"/>
          <w:sz w:val="24"/>
          <w:szCs w:val="24"/>
        </w:rPr>
        <w:t>Euros</w:t>
      </w:r>
      <w:proofErr w:type="gramEnd"/>
      <w:r w:rsidRPr="002632DE">
        <w:rPr>
          <w:rFonts w:ascii="Cambria" w:hAnsi="Cambria"/>
          <w:b/>
          <w:bCs/>
          <w:color w:val="auto"/>
          <w:sz w:val="24"/>
          <w:szCs w:val="24"/>
        </w:rPr>
        <w:t xml:space="preserve"> (SEPA)</w:t>
      </w:r>
    </w:p>
    <w:p w14:paraId="6E0017FA" w14:textId="77777777" w:rsidR="00BD7D9D" w:rsidRPr="002632DE" w:rsidRDefault="00BD7D9D" w:rsidP="001C4C67">
      <w:pPr>
        <w:numPr>
          <w:ilvl w:val="0"/>
          <w:numId w:val="15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Objetivo:</w:t>
      </w:r>
      <w:r w:rsidRPr="002632DE">
        <w:rPr>
          <w:rFonts w:ascii="Cambria" w:hAnsi="Cambria"/>
        </w:rPr>
        <w:t xml:space="preserve"> Eliminar diferencias entre pagos nacionales y transfronterizos en la Zona </w:t>
      </w:r>
      <w:proofErr w:type="gramStart"/>
      <w:r w:rsidRPr="002632DE">
        <w:rPr>
          <w:rFonts w:ascii="Cambria" w:hAnsi="Cambria"/>
        </w:rPr>
        <w:t>Euro</w:t>
      </w:r>
      <w:proofErr w:type="gramEnd"/>
      <w:r w:rsidRPr="002632DE">
        <w:rPr>
          <w:rFonts w:ascii="Cambria" w:hAnsi="Cambria"/>
        </w:rPr>
        <w:t>.</w:t>
      </w:r>
    </w:p>
    <w:p w14:paraId="14A4CA62" w14:textId="77777777" w:rsidR="00BD7D9D" w:rsidRPr="002632DE" w:rsidRDefault="00BD7D9D" w:rsidP="001C4C67">
      <w:pPr>
        <w:numPr>
          <w:ilvl w:val="0"/>
          <w:numId w:val="15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Características:</w:t>
      </w:r>
      <w:r w:rsidRPr="002632DE">
        <w:rPr>
          <w:rFonts w:ascii="Cambria" w:hAnsi="Cambria"/>
        </w:rPr>
        <w:t xml:space="preserve"> Uso de una sola cuenta, IBAN y estándares comunes (XML).</w:t>
      </w:r>
    </w:p>
    <w:p w14:paraId="10F4CF1F" w14:textId="77777777" w:rsidR="00BD7D9D" w:rsidRPr="002632DE" w:rsidRDefault="00BD7D9D" w:rsidP="001C4C67">
      <w:pPr>
        <w:numPr>
          <w:ilvl w:val="0"/>
          <w:numId w:val="15"/>
        </w:numPr>
        <w:jc w:val="both"/>
        <w:rPr>
          <w:rFonts w:ascii="Cambria" w:hAnsi="Cambria"/>
        </w:rPr>
      </w:pPr>
      <w:r w:rsidRPr="002632DE">
        <w:rPr>
          <w:rFonts w:ascii="Cambria" w:hAnsi="Cambria"/>
          <w:b/>
          <w:bCs/>
        </w:rPr>
        <w:t>Regulación:</w:t>
      </w:r>
      <w:r w:rsidRPr="002632DE">
        <w:rPr>
          <w:rFonts w:ascii="Cambria" w:hAnsi="Cambria"/>
        </w:rPr>
        <w:t xml:space="preserve"> Reglamento (UE) 260/2012. Obligatoriedad de migración a estándares SEPA (fin de formatos tradicionales).</w:t>
      </w:r>
    </w:p>
    <w:p w14:paraId="1ABA909C" w14:textId="77777777" w:rsidR="00BD7D9D" w:rsidRPr="002632DE" w:rsidRDefault="00BD7D9D" w:rsidP="001C4C6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632DE">
        <w:rPr>
          <w:rFonts w:ascii="Cambria" w:hAnsi="Cambria"/>
          <w:b/>
          <w:bCs/>
          <w:color w:val="auto"/>
          <w:sz w:val="28"/>
          <w:szCs w:val="28"/>
        </w:rPr>
        <w:t>7. Conclusión</w:t>
      </w:r>
    </w:p>
    <w:p w14:paraId="024A7AEE" w14:textId="77777777" w:rsidR="00BD7D9D" w:rsidRPr="002632DE" w:rsidRDefault="00BD7D9D" w:rsidP="001C4C67">
      <w:pPr>
        <w:numPr>
          <w:ilvl w:val="0"/>
          <w:numId w:val="16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 xml:space="preserve">El </w:t>
      </w:r>
      <w:r w:rsidRPr="002632DE">
        <w:rPr>
          <w:rFonts w:ascii="Cambria" w:hAnsi="Cambria"/>
          <w:b/>
          <w:bCs/>
        </w:rPr>
        <w:t>crédito documentario</w:t>
      </w:r>
      <w:r w:rsidRPr="002632DE">
        <w:rPr>
          <w:rFonts w:ascii="Cambria" w:hAnsi="Cambria"/>
        </w:rPr>
        <w:t xml:space="preserve"> es el medio más seguro y específico del comercio internacional, ideal para expansión sin riesgos, aunque implica mayores costes y complejidad.</w:t>
      </w:r>
    </w:p>
    <w:p w14:paraId="7E5AB028" w14:textId="77777777" w:rsidR="00BD7D9D" w:rsidRPr="002632DE" w:rsidRDefault="00BD7D9D" w:rsidP="001C4C67">
      <w:pPr>
        <w:numPr>
          <w:ilvl w:val="0"/>
          <w:numId w:val="16"/>
        </w:numPr>
        <w:jc w:val="both"/>
        <w:rPr>
          <w:rFonts w:ascii="Cambria" w:hAnsi="Cambria"/>
        </w:rPr>
      </w:pPr>
      <w:r w:rsidRPr="002632DE">
        <w:rPr>
          <w:rFonts w:ascii="Cambria" w:hAnsi="Cambria"/>
        </w:rPr>
        <w:t>La elección adecuada depende del equilibrio buscado entre seguridad, coste y confianza entre las partes.</w:t>
      </w:r>
    </w:p>
    <w:p w14:paraId="489DA856" w14:textId="77777777" w:rsidR="00A65383" w:rsidRPr="002632DE" w:rsidRDefault="00A65383" w:rsidP="001C4C67">
      <w:pPr>
        <w:jc w:val="both"/>
        <w:rPr>
          <w:rFonts w:ascii="Cambria" w:hAnsi="Cambria"/>
        </w:rPr>
      </w:pPr>
    </w:p>
    <w:sectPr w:rsidR="00A65383" w:rsidRPr="002632D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1F210" w14:textId="77777777" w:rsidR="00BD7D9D" w:rsidRDefault="00BD7D9D" w:rsidP="00BD7D9D">
      <w:pPr>
        <w:spacing w:after="0" w:line="240" w:lineRule="auto"/>
      </w:pPr>
      <w:r>
        <w:separator/>
      </w:r>
    </w:p>
  </w:endnote>
  <w:endnote w:type="continuationSeparator" w:id="0">
    <w:p w14:paraId="507F02B8" w14:textId="77777777" w:rsidR="00BD7D9D" w:rsidRDefault="00BD7D9D" w:rsidP="00BD7D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E0807" w14:textId="77777777" w:rsidR="00BD7D9D" w:rsidRDefault="00BD7D9D" w:rsidP="00BD7D9D">
      <w:pPr>
        <w:spacing w:after="0" w:line="240" w:lineRule="auto"/>
      </w:pPr>
      <w:r>
        <w:separator/>
      </w:r>
    </w:p>
  </w:footnote>
  <w:footnote w:type="continuationSeparator" w:id="0">
    <w:p w14:paraId="5A4F51E4" w14:textId="77777777" w:rsidR="00BD7D9D" w:rsidRDefault="00BD7D9D" w:rsidP="00BD7D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B2001" w14:textId="6930AAEF" w:rsidR="00BD7D9D" w:rsidRPr="003F1CB3" w:rsidRDefault="00BD7D9D" w:rsidP="00BD7D9D">
    <w:pPr>
      <w:pStyle w:val="Encabezado"/>
      <w:jc w:val="both"/>
      <w:rPr>
        <w:rFonts w:ascii="Palatino Linotype" w:hAnsi="Palatino Linotype"/>
        <w:i/>
        <w:iCs/>
      </w:rPr>
    </w:pPr>
    <w:r w:rsidRPr="003F1CB3">
      <w:rPr>
        <w:rFonts w:ascii="Palatino Linotype" w:hAnsi="Palatino Linotype"/>
        <w:b/>
        <w:bCs/>
        <w:i/>
        <w:iCs/>
      </w:rPr>
      <w:t>TEMA 15 -</w:t>
    </w:r>
    <w:r w:rsidRPr="003F1CB3">
      <w:rPr>
        <w:rFonts w:ascii="Palatino Linotype" w:hAnsi="Palatino Linotype"/>
        <w:i/>
        <w:iCs/>
      </w:rPr>
      <w:t xml:space="preserve"> Medios de pago y cobro internacionales: Generalidades. Billetes de banco. Cheque personal y bancario. Transferencia bancaria. Orden de pago. Remesas simples y documentarias. Crédito documentario: características, clasificación, procedimiento de utilización, cláusulas y operaciones especiales. La carta de crédito comercial. Otros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83BFC"/>
    <w:multiLevelType w:val="multilevel"/>
    <w:tmpl w:val="D0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675EC"/>
    <w:multiLevelType w:val="multilevel"/>
    <w:tmpl w:val="67E2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369F8"/>
    <w:multiLevelType w:val="multilevel"/>
    <w:tmpl w:val="6018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26146"/>
    <w:multiLevelType w:val="multilevel"/>
    <w:tmpl w:val="E7228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431EB"/>
    <w:multiLevelType w:val="multilevel"/>
    <w:tmpl w:val="7324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B1C7F"/>
    <w:multiLevelType w:val="multilevel"/>
    <w:tmpl w:val="DA8A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72305C"/>
    <w:multiLevelType w:val="multilevel"/>
    <w:tmpl w:val="DFA0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A61CFD"/>
    <w:multiLevelType w:val="multilevel"/>
    <w:tmpl w:val="A778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66B52"/>
    <w:multiLevelType w:val="multilevel"/>
    <w:tmpl w:val="E7A0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4F04FF"/>
    <w:multiLevelType w:val="multilevel"/>
    <w:tmpl w:val="90B6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2C4709"/>
    <w:multiLevelType w:val="multilevel"/>
    <w:tmpl w:val="DB62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ED432F"/>
    <w:multiLevelType w:val="multilevel"/>
    <w:tmpl w:val="3536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12363E"/>
    <w:multiLevelType w:val="multilevel"/>
    <w:tmpl w:val="432C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612A65"/>
    <w:multiLevelType w:val="multilevel"/>
    <w:tmpl w:val="4776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3C2334"/>
    <w:multiLevelType w:val="multilevel"/>
    <w:tmpl w:val="7A82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066091"/>
    <w:multiLevelType w:val="multilevel"/>
    <w:tmpl w:val="F0F2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5991670">
    <w:abstractNumId w:val="8"/>
  </w:num>
  <w:num w:numId="2" w16cid:durableId="1543208418">
    <w:abstractNumId w:val="12"/>
  </w:num>
  <w:num w:numId="3" w16cid:durableId="1794204451">
    <w:abstractNumId w:val="1"/>
  </w:num>
  <w:num w:numId="4" w16cid:durableId="1534272695">
    <w:abstractNumId w:val="13"/>
  </w:num>
  <w:num w:numId="5" w16cid:durableId="1085300219">
    <w:abstractNumId w:val="4"/>
  </w:num>
  <w:num w:numId="6" w16cid:durableId="1399204953">
    <w:abstractNumId w:val="3"/>
  </w:num>
  <w:num w:numId="7" w16cid:durableId="430782986">
    <w:abstractNumId w:val="2"/>
  </w:num>
  <w:num w:numId="8" w16cid:durableId="534198747">
    <w:abstractNumId w:val="5"/>
  </w:num>
  <w:num w:numId="9" w16cid:durableId="959267028">
    <w:abstractNumId w:val="6"/>
  </w:num>
  <w:num w:numId="10" w16cid:durableId="1653872801">
    <w:abstractNumId w:val="7"/>
  </w:num>
  <w:num w:numId="11" w16cid:durableId="1527014009">
    <w:abstractNumId w:val="0"/>
  </w:num>
  <w:num w:numId="12" w16cid:durableId="1326664490">
    <w:abstractNumId w:val="14"/>
  </w:num>
  <w:num w:numId="13" w16cid:durableId="747579673">
    <w:abstractNumId w:val="10"/>
  </w:num>
  <w:num w:numId="14" w16cid:durableId="1016930906">
    <w:abstractNumId w:val="11"/>
  </w:num>
  <w:num w:numId="15" w16cid:durableId="974411596">
    <w:abstractNumId w:val="15"/>
  </w:num>
  <w:num w:numId="16" w16cid:durableId="4849038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D9D"/>
    <w:rsid w:val="001C4C67"/>
    <w:rsid w:val="002632DE"/>
    <w:rsid w:val="003F1CB3"/>
    <w:rsid w:val="005803BC"/>
    <w:rsid w:val="008B6DF9"/>
    <w:rsid w:val="00A65383"/>
    <w:rsid w:val="00A8675C"/>
    <w:rsid w:val="00BD7D9D"/>
    <w:rsid w:val="00C04EFD"/>
    <w:rsid w:val="00C12CFD"/>
    <w:rsid w:val="00C55B30"/>
    <w:rsid w:val="00DB0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FA3F0"/>
  <w15:chartTrackingRefBased/>
  <w15:docId w15:val="{82B0B54B-7BF7-4F4D-BCEB-A1606BC47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7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D7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7D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7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7D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7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7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7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7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BD7D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D7D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7D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7D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7D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7D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7D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7D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7D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7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7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7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7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7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7D9D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D7D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7D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7D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7D9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D7D9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7D9D"/>
  </w:style>
  <w:style w:type="paragraph" w:styleId="Piedepgina">
    <w:name w:val="footer"/>
    <w:basedOn w:val="Normal"/>
    <w:link w:val="PiedepginaCar"/>
    <w:uiPriority w:val="99"/>
    <w:unhideWhenUsed/>
    <w:rsid w:val="00BD7D9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7D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979</Words>
  <Characters>5385</Characters>
  <Application>Microsoft Office Word</Application>
  <DocSecurity>0</DocSecurity>
  <Lines>44</Lines>
  <Paragraphs>12</Paragraphs>
  <ScaleCrop>false</ScaleCrop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2025-11-21T17:00:00Z</dcterms:created>
  <dcterms:modified xsi:type="dcterms:W3CDTF">2026-01-14T14:11:00Z</dcterms:modified>
</cp:coreProperties>
</file>