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F20BA0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7EB4C446" w14:textId="77777777" w:rsidR="008F013D" w:rsidRPr="00985D38" w:rsidRDefault="008F013D" w:rsidP="00EA5F19">
      <w:pPr>
        <w:numPr>
          <w:ilvl w:val="0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Contexto de internacionalización:</w:t>
      </w:r>
      <w:r w:rsidRPr="00985D38">
        <w:rPr>
          <w:rFonts w:ascii="Cambria" w:hAnsi="Cambria"/>
        </w:rPr>
        <w:t xml:space="preserve"> Crecimiento del comercio, mercados financieros, flujos de capital y expansión de multinacionales.</w:t>
      </w:r>
    </w:p>
    <w:p w14:paraId="77DAB8BF" w14:textId="77777777" w:rsidR="008F013D" w:rsidRPr="00985D38" w:rsidRDefault="008F013D" w:rsidP="00EA5F19">
      <w:pPr>
        <w:numPr>
          <w:ilvl w:val="0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Importancia de la inversión extranjera:</w:t>
      </w:r>
    </w:p>
    <w:p w14:paraId="1CEE7964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Complementa el ahorro nacional.</w:t>
      </w:r>
    </w:p>
    <w:p w14:paraId="03B3AA81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Aumenta competencia, innovación, crecimiento y empleo.</w:t>
      </w:r>
    </w:p>
    <w:p w14:paraId="1EA0BAAE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 xml:space="preserve">Transfiere tecnología y </w:t>
      </w:r>
      <w:r w:rsidRPr="00985D38">
        <w:rPr>
          <w:rFonts w:ascii="Cambria" w:hAnsi="Cambria"/>
          <w:i/>
          <w:iCs/>
        </w:rPr>
        <w:t>know-how</w:t>
      </w:r>
      <w:r w:rsidRPr="00985D38">
        <w:rPr>
          <w:rFonts w:ascii="Cambria" w:hAnsi="Cambria"/>
        </w:rPr>
        <w:t>.</w:t>
      </w:r>
    </w:p>
    <w:p w14:paraId="1726784F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Alternativa al endeudamiento externo.</w:t>
      </w:r>
    </w:p>
    <w:p w14:paraId="39E23309" w14:textId="77777777" w:rsidR="008F013D" w:rsidRPr="00985D38" w:rsidRDefault="008F013D" w:rsidP="00EA5F19">
      <w:pPr>
        <w:numPr>
          <w:ilvl w:val="0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Marco Normativo:</w:t>
      </w:r>
    </w:p>
    <w:p w14:paraId="35CCACEC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Comunitario:</w:t>
      </w:r>
      <w:r w:rsidRPr="00985D38">
        <w:rPr>
          <w:rFonts w:ascii="Cambria" w:hAnsi="Cambria"/>
        </w:rPr>
        <w:t xml:space="preserve"> Tratado de Maastricht (libertad movimientos capital) y Reglamento (UE) 2019/452 (control de inversiones).</w:t>
      </w:r>
    </w:p>
    <w:p w14:paraId="0812AC9C" w14:textId="77777777" w:rsidR="008F013D" w:rsidRPr="00985D38" w:rsidRDefault="008F013D" w:rsidP="00EA5F19">
      <w:pPr>
        <w:numPr>
          <w:ilvl w:val="1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Nacional:</w:t>
      </w:r>
    </w:p>
    <w:p w14:paraId="4F748C1A" w14:textId="77777777" w:rsidR="008F013D" w:rsidRPr="00985D38" w:rsidRDefault="008F013D" w:rsidP="00EA5F19">
      <w:pPr>
        <w:numPr>
          <w:ilvl w:val="2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Ley 19/2003:</w:t>
      </w:r>
      <w:r w:rsidRPr="00985D38">
        <w:rPr>
          <w:rFonts w:ascii="Cambria" w:hAnsi="Cambria"/>
        </w:rPr>
        <w:t xml:space="preserve"> Régimen jurídico de movimientos de capitales (modificada por decretos recientes </w:t>
      </w:r>
      <w:proofErr w:type="spellStart"/>
      <w:r w:rsidRPr="00985D38">
        <w:rPr>
          <w:rFonts w:ascii="Cambria" w:hAnsi="Cambria"/>
        </w:rPr>
        <w:t>anti-blanqueo</w:t>
      </w:r>
      <w:proofErr w:type="spellEnd"/>
      <w:r w:rsidRPr="00985D38">
        <w:rPr>
          <w:rFonts w:ascii="Cambria" w:hAnsi="Cambria"/>
        </w:rPr>
        <w:t xml:space="preserve"> y de suspensión de liberalización por COVID/seguridad estratégica).</w:t>
      </w:r>
    </w:p>
    <w:p w14:paraId="452F9A76" w14:textId="77777777" w:rsidR="008F013D" w:rsidRPr="00985D38" w:rsidRDefault="008F013D" w:rsidP="00EA5F19">
      <w:pPr>
        <w:numPr>
          <w:ilvl w:val="2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Real Decreto 571/2023:</w:t>
      </w:r>
      <w:r w:rsidRPr="00985D38">
        <w:rPr>
          <w:rFonts w:ascii="Cambria" w:hAnsi="Cambria"/>
        </w:rPr>
        <w:t xml:space="preserve"> Régimen jurídico de inversiones exteriores.</w:t>
      </w:r>
    </w:p>
    <w:p w14:paraId="4E45729D" w14:textId="77777777" w:rsidR="008F013D" w:rsidRPr="00985D38" w:rsidRDefault="008F013D" w:rsidP="00EA5F19">
      <w:pPr>
        <w:numPr>
          <w:ilvl w:val="2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Ley 18/1992:</w:t>
      </w:r>
      <w:r w:rsidRPr="00985D38">
        <w:rPr>
          <w:rFonts w:ascii="Cambria" w:hAnsi="Cambria"/>
        </w:rPr>
        <w:t xml:space="preserve"> Normas en sectores específicos.</w:t>
      </w:r>
    </w:p>
    <w:p w14:paraId="594AD164" w14:textId="339E1313" w:rsidR="008F013D" w:rsidRPr="00985D38" w:rsidRDefault="008F013D" w:rsidP="00EA5F19">
      <w:pPr>
        <w:numPr>
          <w:ilvl w:val="2"/>
          <w:numId w:val="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 xml:space="preserve">Régimen de suspensión (escudos </w:t>
      </w:r>
      <w:proofErr w:type="spellStart"/>
      <w:r w:rsidRPr="00985D38">
        <w:rPr>
          <w:rFonts w:ascii="Cambria" w:hAnsi="Cambria"/>
          <w:b/>
          <w:bCs/>
        </w:rPr>
        <w:t>anti-opas</w:t>
      </w:r>
      <w:proofErr w:type="spellEnd"/>
      <w:r w:rsidRPr="00985D38">
        <w:rPr>
          <w:rFonts w:ascii="Cambria" w:hAnsi="Cambria"/>
          <w:b/>
          <w:bCs/>
        </w:rPr>
        <w:t>):</w:t>
      </w:r>
      <w:r w:rsidRPr="00985D38">
        <w:rPr>
          <w:rFonts w:ascii="Cambria" w:hAnsi="Cambria"/>
        </w:rPr>
        <w:t xml:space="preserve"> Ampliado hasta finales de 2024 para inversiones de la UE/EFTA en cotizadas o estratégicas (&gt;500M€), y autorización previa para inversores extracomunitarios en sectores críticos.</w:t>
      </w:r>
    </w:p>
    <w:p w14:paraId="264FD9CC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2. Características y Tipos de Inversiones</w:t>
      </w:r>
    </w:p>
    <w:p w14:paraId="6063333C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>2.1. Características Generales</w:t>
      </w:r>
    </w:p>
    <w:p w14:paraId="58B1739D" w14:textId="77777777" w:rsidR="008F013D" w:rsidRPr="00985D38" w:rsidRDefault="008F013D" w:rsidP="00EA5F19">
      <w:pPr>
        <w:numPr>
          <w:ilvl w:val="0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Principio general:</w:t>
      </w:r>
      <w:r w:rsidRPr="00985D38">
        <w:rPr>
          <w:rFonts w:ascii="Cambria" w:hAnsi="Cambria"/>
        </w:rPr>
        <w:t xml:space="preserve"> Libertad de movimientos de capital.</w:t>
      </w:r>
    </w:p>
    <w:p w14:paraId="2AAD40AD" w14:textId="77777777" w:rsidR="008F013D" w:rsidRPr="00985D38" w:rsidRDefault="008F013D" w:rsidP="00EA5F19">
      <w:pPr>
        <w:numPr>
          <w:ilvl w:val="0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Excepciones:</w:t>
      </w:r>
      <w:r w:rsidRPr="00985D38">
        <w:rPr>
          <w:rFonts w:ascii="Cambria" w:hAnsi="Cambria"/>
        </w:rPr>
        <w:t xml:space="preserve"> Sectores regulados (Juego, TV/Radio, Transporte aéreo, Defensa) o razones de orden público/seguridad/salud.</w:t>
      </w:r>
    </w:p>
    <w:p w14:paraId="5397033D" w14:textId="77777777" w:rsidR="008F013D" w:rsidRPr="00985D38" w:rsidRDefault="008F013D" w:rsidP="00EA5F19">
      <w:pPr>
        <w:numPr>
          <w:ilvl w:val="0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Titulares:</w:t>
      </w:r>
    </w:p>
    <w:p w14:paraId="6364258E" w14:textId="77777777" w:rsidR="008F013D" w:rsidRPr="00985D38" w:rsidRDefault="008F013D" w:rsidP="00EA5F19">
      <w:pPr>
        <w:numPr>
          <w:ilvl w:val="1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Inversión extranjera en España: No residentes (físicas o jurídicas).</w:t>
      </w:r>
    </w:p>
    <w:p w14:paraId="1401B618" w14:textId="77777777" w:rsidR="008F013D" w:rsidRPr="00985D38" w:rsidRDefault="008F013D" w:rsidP="00EA5F19">
      <w:pPr>
        <w:numPr>
          <w:ilvl w:val="1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lastRenderedPageBreak/>
        <w:t>Inversión española en exterior: Residentes en España.</w:t>
      </w:r>
    </w:p>
    <w:p w14:paraId="20B373B6" w14:textId="77777777" w:rsidR="008F013D" w:rsidRPr="00985D38" w:rsidRDefault="008F013D" w:rsidP="00EA5F19">
      <w:pPr>
        <w:numPr>
          <w:ilvl w:val="0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Obligación administrativa:</w:t>
      </w:r>
      <w:r w:rsidRPr="00985D38">
        <w:rPr>
          <w:rFonts w:ascii="Cambria" w:hAnsi="Cambria"/>
        </w:rPr>
        <w:t xml:space="preserve"> Declaración al </w:t>
      </w:r>
      <w:r w:rsidRPr="00985D38">
        <w:rPr>
          <w:rFonts w:ascii="Cambria" w:hAnsi="Cambria"/>
          <w:b/>
          <w:bCs/>
        </w:rPr>
        <w:t>Registro de Inversiones Exteriores</w:t>
      </w:r>
      <w:r w:rsidRPr="00985D38">
        <w:rPr>
          <w:rFonts w:ascii="Cambria" w:hAnsi="Cambria"/>
        </w:rPr>
        <w:t xml:space="preserve"> (Dirección General de Comercio Internacional e Inversiones).</w:t>
      </w:r>
    </w:p>
    <w:p w14:paraId="1F6AE16A" w14:textId="77777777" w:rsidR="008F013D" w:rsidRPr="00985D38" w:rsidRDefault="008F013D" w:rsidP="00EA5F19">
      <w:pPr>
        <w:numPr>
          <w:ilvl w:val="1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 xml:space="preserve">Generalmente </w:t>
      </w:r>
      <w:r w:rsidRPr="00985D38">
        <w:rPr>
          <w:rFonts w:ascii="Cambria" w:hAnsi="Cambria"/>
          <w:i/>
          <w:iCs/>
        </w:rPr>
        <w:t>ex post</w:t>
      </w:r>
      <w:r w:rsidRPr="00985D38">
        <w:rPr>
          <w:rFonts w:ascii="Cambria" w:hAnsi="Cambria"/>
        </w:rPr>
        <w:t xml:space="preserve"> (plazo 1 mes) para importes &gt; 3.005.060,52€.</w:t>
      </w:r>
    </w:p>
    <w:p w14:paraId="6256603E" w14:textId="77777777" w:rsidR="008F013D" w:rsidRPr="00985D38" w:rsidRDefault="008F013D" w:rsidP="00EA5F19">
      <w:pPr>
        <w:numPr>
          <w:ilvl w:val="1"/>
          <w:numId w:val="2"/>
        </w:numPr>
        <w:jc w:val="both"/>
        <w:rPr>
          <w:rFonts w:ascii="Cambria" w:hAnsi="Cambria"/>
        </w:rPr>
      </w:pPr>
      <w:r w:rsidRPr="00985D38">
        <w:rPr>
          <w:rFonts w:ascii="Cambria" w:hAnsi="Cambria"/>
          <w:i/>
          <w:iCs/>
        </w:rPr>
        <w:t>Ex ante</w:t>
      </w:r>
      <w:r w:rsidRPr="00985D38">
        <w:rPr>
          <w:rFonts w:ascii="Cambria" w:hAnsi="Cambria"/>
        </w:rPr>
        <w:t xml:space="preserve"> (previa) si procede de paraísos fiscales.</w:t>
      </w:r>
    </w:p>
    <w:p w14:paraId="26B72854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>2.2. Tipos de Inversión</w:t>
      </w:r>
    </w:p>
    <w:p w14:paraId="5B92F761" w14:textId="77777777" w:rsidR="008F013D" w:rsidRPr="00985D38" w:rsidRDefault="008F013D" w:rsidP="00EA5F19">
      <w:pPr>
        <w:numPr>
          <w:ilvl w:val="0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Inversión Directa:</w:t>
      </w:r>
    </w:p>
    <w:p w14:paraId="30292E6A" w14:textId="77777777" w:rsidR="008F013D" w:rsidRPr="00985D38" w:rsidRDefault="008F013D" w:rsidP="00EA5F19">
      <w:pPr>
        <w:numPr>
          <w:ilvl w:val="1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Participación ≥ 10% del capital o derechos de voto/gestión.</w:t>
      </w:r>
    </w:p>
    <w:p w14:paraId="36E65ABF" w14:textId="77777777" w:rsidR="008F013D" w:rsidRPr="00985D38" w:rsidRDefault="008F013D" w:rsidP="00EA5F19">
      <w:pPr>
        <w:numPr>
          <w:ilvl w:val="1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Sucursales, establecimientos y préstamos &gt; 5 años para vínculos duraderos.</w:t>
      </w:r>
    </w:p>
    <w:p w14:paraId="3E341ABE" w14:textId="77777777" w:rsidR="008F013D" w:rsidRPr="00985D38" w:rsidRDefault="008F013D" w:rsidP="00EA5F19">
      <w:pPr>
        <w:numPr>
          <w:ilvl w:val="0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Inversión en Valores Negociables (Cartera):</w:t>
      </w:r>
    </w:p>
    <w:p w14:paraId="6FF2BE31" w14:textId="77777777" w:rsidR="008F013D" w:rsidRPr="00985D38" w:rsidRDefault="008F013D" w:rsidP="00EA5F19">
      <w:pPr>
        <w:numPr>
          <w:ilvl w:val="1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Participación &lt; 10% sin capacidad de gestión.</w:t>
      </w:r>
    </w:p>
    <w:p w14:paraId="4E774F77" w14:textId="77777777" w:rsidR="008F013D" w:rsidRPr="00985D38" w:rsidRDefault="008F013D" w:rsidP="00EA5F19">
      <w:pPr>
        <w:numPr>
          <w:ilvl w:val="1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Suscripción de obligaciones, bonos, letras, pagarés o fondos de inversión.</w:t>
      </w:r>
    </w:p>
    <w:p w14:paraId="52307733" w14:textId="77777777" w:rsidR="008F013D" w:rsidRPr="00985D38" w:rsidRDefault="008F013D" w:rsidP="00EA5F19">
      <w:pPr>
        <w:numPr>
          <w:ilvl w:val="0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Inversiones en Inmuebles:</w:t>
      </w:r>
      <w:r w:rsidRPr="00985D38">
        <w:rPr>
          <w:rFonts w:ascii="Cambria" w:hAnsi="Cambria"/>
        </w:rPr>
        <w:t xml:space="preserve"> Propiedad, derechos reales o tiempo compartido.</w:t>
      </w:r>
    </w:p>
    <w:p w14:paraId="2859B9BE" w14:textId="77777777" w:rsidR="008F013D" w:rsidRPr="00985D38" w:rsidRDefault="008F013D" w:rsidP="00EA5F19">
      <w:pPr>
        <w:numPr>
          <w:ilvl w:val="0"/>
          <w:numId w:val="3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Otras:</w:t>
      </w:r>
      <w:r w:rsidRPr="00985D38">
        <w:rPr>
          <w:rFonts w:ascii="Cambria" w:hAnsi="Cambria"/>
        </w:rPr>
        <w:t xml:space="preserve"> Cuentas en participación, fundaciones, cooperativas, comunidades de bienes.</w:t>
      </w:r>
    </w:p>
    <w:p w14:paraId="15377C2D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3. Análisis de Flujos Mundiales (Informe UNCTAD 2024)</w:t>
      </w:r>
    </w:p>
    <w:p w14:paraId="0CA38F23" w14:textId="77777777" w:rsidR="008F013D" w:rsidRPr="00985D38" w:rsidRDefault="008F013D" w:rsidP="00EA5F19">
      <w:pPr>
        <w:numPr>
          <w:ilvl w:val="0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Tendencia global 2023:</w:t>
      </w:r>
      <w:r w:rsidRPr="00985D38">
        <w:rPr>
          <w:rFonts w:ascii="Cambria" w:hAnsi="Cambria"/>
        </w:rPr>
        <w:t xml:space="preserve"> Caída del 2% en flujos de Inversión Extranjera Directa (IED) mundial (1,3 Billones $).</w:t>
      </w:r>
    </w:p>
    <w:p w14:paraId="79B6DB72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Causas: Tensiones comerciales, geopolíticas y condiciones financieras restrictivas.</w:t>
      </w:r>
    </w:p>
    <w:p w14:paraId="770DAB48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Fuerte caída (-26%) en financiación de proyectos internacionales (infraestructuras).</w:t>
      </w:r>
    </w:p>
    <w:p w14:paraId="6270E78F" w14:textId="77777777" w:rsidR="008F013D" w:rsidRPr="00985D38" w:rsidRDefault="008F013D" w:rsidP="00EA5F19">
      <w:pPr>
        <w:numPr>
          <w:ilvl w:val="0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Países en desarrollo:</w:t>
      </w:r>
      <w:r w:rsidRPr="00985D38">
        <w:rPr>
          <w:rFonts w:ascii="Cambria" w:hAnsi="Cambria"/>
        </w:rPr>
        <w:t xml:space="preserve"> Caída general del 7%.</w:t>
      </w:r>
    </w:p>
    <w:p w14:paraId="20704346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Desigualdad: Concentración en Sudeste Asiático.</w:t>
      </w:r>
    </w:p>
    <w:p w14:paraId="0DD1A49B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Caídas en África (-3%), Asia en desarrollo (-8%) y América Latina (-1%).</w:t>
      </w:r>
    </w:p>
    <w:p w14:paraId="3EA48F6C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Aumento hacia economías vulnerables (PMA) pero concentrado en pocos países.</w:t>
      </w:r>
    </w:p>
    <w:p w14:paraId="4A1EF627" w14:textId="77777777" w:rsidR="008F013D" w:rsidRPr="00985D38" w:rsidRDefault="008F013D" w:rsidP="00EA5F19">
      <w:pPr>
        <w:numPr>
          <w:ilvl w:val="0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lastRenderedPageBreak/>
        <w:t>Sectores:</w:t>
      </w:r>
    </w:p>
    <w:p w14:paraId="20D620CB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Aumento en cadenas de valor intensivas (automoción, electrónica).</w:t>
      </w:r>
    </w:p>
    <w:p w14:paraId="51B4D16E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Caída en sectores vinculados a los ODS (agua, saneamiento, agroalimentación) y financiación sostenible.</w:t>
      </w:r>
    </w:p>
    <w:p w14:paraId="20D33FF4" w14:textId="77777777" w:rsidR="008F013D" w:rsidRPr="00985D38" w:rsidRDefault="008F013D" w:rsidP="00EA5F19">
      <w:pPr>
        <w:numPr>
          <w:ilvl w:val="0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Políticas de inversión:</w:t>
      </w:r>
    </w:p>
    <w:p w14:paraId="6349490F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Países en desarrollo: Medidas favorables para atraer inversión (86%).</w:t>
      </w:r>
    </w:p>
    <w:p w14:paraId="0D84A0FD" w14:textId="77777777" w:rsidR="008F013D" w:rsidRPr="00985D38" w:rsidRDefault="008F013D" w:rsidP="00EA5F19">
      <w:pPr>
        <w:numPr>
          <w:ilvl w:val="1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Países desarrollados: Medidas menos favorables/restrictivas por seguridad nacional (57%).</w:t>
      </w:r>
    </w:p>
    <w:p w14:paraId="3420C9E6" w14:textId="77777777" w:rsidR="008F013D" w:rsidRPr="00985D38" w:rsidRDefault="008F013D" w:rsidP="00EA5F19">
      <w:pPr>
        <w:numPr>
          <w:ilvl w:val="0"/>
          <w:numId w:val="4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Solución de controversias:</w:t>
      </w:r>
      <w:r w:rsidRPr="00985D38">
        <w:rPr>
          <w:rFonts w:ascii="Cambria" w:hAnsi="Cambria"/>
        </w:rPr>
        <w:t xml:space="preserve"> Aumento de casos ISDS (inversor-Estado), mayoritariamente contra países en desarrollo.</w:t>
      </w:r>
    </w:p>
    <w:p w14:paraId="68EE5B09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4. Efectos sobre Desarrollo Económico y Comercio</w:t>
      </w:r>
    </w:p>
    <w:p w14:paraId="1B276A59" w14:textId="3F6022BB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 xml:space="preserve">4.1. Deslocalización </w:t>
      </w:r>
    </w:p>
    <w:p w14:paraId="52279865" w14:textId="77777777" w:rsidR="008F013D" w:rsidRPr="00985D38" w:rsidRDefault="008F013D" w:rsidP="00EA5F19">
      <w:pPr>
        <w:numPr>
          <w:ilvl w:val="0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Concepto:</w:t>
      </w:r>
      <w:r w:rsidRPr="00985D38">
        <w:rPr>
          <w:rFonts w:ascii="Cambria" w:hAnsi="Cambria"/>
        </w:rPr>
        <w:t xml:space="preserve"> Traslado de actividad productiva a otro país para mejorar competitividad (costes, beneficios).</w:t>
      </w:r>
    </w:p>
    <w:p w14:paraId="540E4025" w14:textId="77777777" w:rsidR="008F013D" w:rsidRPr="00985D38" w:rsidRDefault="008F013D" w:rsidP="00EA5F19">
      <w:pPr>
        <w:numPr>
          <w:ilvl w:val="0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Factores determinantes:</w:t>
      </w:r>
      <w:r w:rsidRPr="00985D38">
        <w:rPr>
          <w:rFonts w:ascii="Cambria" w:hAnsi="Cambria"/>
        </w:rPr>
        <w:t xml:space="preserve"> Costes laborales, estabilidad política, carga impositiva, infraestructuras y cualificación.</w:t>
      </w:r>
    </w:p>
    <w:p w14:paraId="41BFA308" w14:textId="77777777" w:rsidR="008F013D" w:rsidRPr="00985D38" w:rsidRDefault="008F013D" w:rsidP="00EA5F19">
      <w:pPr>
        <w:numPr>
          <w:ilvl w:val="0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Tipos:</w:t>
      </w:r>
    </w:p>
    <w:p w14:paraId="6FDE50B5" w14:textId="77777777" w:rsidR="008F013D" w:rsidRPr="00985D38" w:rsidRDefault="008F013D" w:rsidP="00EA5F19">
      <w:pPr>
        <w:numPr>
          <w:ilvl w:val="1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Internalizada (Cautiva): Filiales propias.</w:t>
      </w:r>
    </w:p>
    <w:p w14:paraId="3ECB11B0" w14:textId="77777777" w:rsidR="008F013D" w:rsidRPr="00985D38" w:rsidRDefault="008F013D" w:rsidP="00EA5F19">
      <w:pPr>
        <w:numPr>
          <w:ilvl w:val="1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Externalizada (</w:t>
      </w:r>
      <w:r w:rsidRPr="00985D38">
        <w:rPr>
          <w:rFonts w:ascii="Cambria" w:hAnsi="Cambria"/>
          <w:i/>
          <w:iCs/>
        </w:rPr>
        <w:t>Outsourcing</w:t>
      </w:r>
      <w:r w:rsidRPr="00985D38">
        <w:rPr>
          <w:rFonts w:ascii="Cambria" w:hAnsi="Cambria"/>
        </w:rPr>
        <w:t>): Subcontratación a terceros.</w:t>
      </w:r>
    </w:p>
    <w:p w14:paraId="0F725000" w14:textId="77777777" w:rsidR="008F013D" w:rsidRPr="00985D38" w:rsidRDefault="008F013D" w:rsidP="00EA5F19">
      <w:pPr>
        <w:numPr>
          <w:ilvl w:val="0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Ventajas y Frenos:</w:t>
      </w:r>
    </w:p>
    <w:p w14:paraId="2F73D948" w14:textId="77777777" w:rsidR="008F013D" w:rsidRPr="00985D38" w:rsidRDefault="008F013D" w:rsidP="00EA5F19">
      <w:pPr>
        <w:numPr>
          <w:ilvl w:val="1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i/>
          <w:iCs/>
        </w:rPr>
        <w:t>País origen:</w:t>
      </w:r>
      <w:r w:rsidRPr="00985D38">
        <w:rPr>
          <w:rFonts w:ascii="Cambria" w:hAnsi="Cambria"/>
        </w:rPr>
        <w:t xml:space="preserve"> Reducción costes, enfoque en I+D (valor añadido), pero riesgo social (despidos, imagen) y distanciamiento de mercados.</w:t>
      </w:r>
    </w:p>
    <w:p w14:paraId="0A636B5D" w14:textId="77777777" w:rsidR="008F013D" w:rsidRPr="00985D38" w:rsidRDefault="008F013D" w:rsidP="00EA5F19">
      <w:pPr>
        <w:numPr>
          <w:ilvl w:val="1"/>
          <w:numId w:val="5"/>
        </w:numPr>
        <w:jc w:val="both"/>
        <w:rPr>
          <w:rFonts w:ascii="Cambria" w:hAnsi="Cambria"/>
        </w:rPr>
      </w:pPr>
      <w:r w:rsidRPr="00985D38">
        <w:rPr>
          <w:rFonts w:ascii="Cambria" w:hAnsi="Cambria"/>
          <w:i/>
          <w:iCs/>
        </w:rPr>
        <w:t>País receptor:</w:t>
      </w:r>
      <w:r w:rsidRPr="00985D38">
        <w:rPr>
          <w:rFonts w:ascii="Cambria" w:hAnsi="Cambria"/>
        </w:rPr>
        <w:t xml:space="preserve"> Creación empleo, exportaciones, transferencia tecnológica y cualificación.</w:t>
      </w:r>
    </w:p>
    <w:p w14:paraId="231A77D9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>4.2. Inversión Exterior y España</w:t>
      </w:r>
    </w:p>
    <w:p w14:paraId="497487FD" w14:textId="77777777" w:rsidR="008F013D" w:rsidRPr="00985D38" w:rsidRDefault="008F013D" w:rsidP="00EA5F19">
      <w:pPr>
        <w:numPr>
          <w:ilvl w:val="0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Determinantes:</w:t>
      </w:r>
      <w:r w:rsidRPr="00985D38">
        <w:rPr>
          <w:rFonts w:ascii="Cambria" w:hAnsi="Cambria"/>
        </w:rPr>
        <w:t xml:space="preserve"> Estabilidad, crecimiento, incentivos fiscales, ubicación.</w:t>
      </w:r>
    </w:p>
    <w:p w14:paraId="1691CBAE" w14:textId="77777777" w:rsidR="008F013D" w:rsidRPr="00985D38" w:rsidRDefault="008F013D" w:rsidP="00EA5F19">
      <w:pPr>
        <w:numPr>
          <w:ilvl w:val="0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Posición de España:</w:t>
      </w:r>
      <w:r w:rsidRPr="00985D38">
        <w:rPr>
          <w:rFonts w:ascii="Cambria" w:hAnsi="Cambria"/>
        </w:rPr>
        <w:t xml:space="preserve"> 10º receptor mundial en 2023 (UNCTAD), destacando pese a la tendencia bajista europea.</w:t>
      </w:r>
    </w:p>
    <w:p w14:paraId="723F92B9" w14:textId="77777777" w:rsidR="008F013D" w:rsidRPr="00985D38" w:rsidRDefault="008F013D" w:rsidP="00EA5F19">
      <w:pPr>
        <w:numPr>
          <w:ilvl w:val="0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Efectos Aglomeración:</w:t>
      </w:r>
    </w:p>
    <w:p w14:paraId="0BECAC1C" w14:textId="77777777" w:rsidR="008F013D" w:rsidRPr="00985D38" w:rsidRDefault="008F013D" w:rsidP="00EA5F19">
      <w:pPr>
        <w:numPr>
          <w:ilvl w:val="1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Positivos: Externalidades, reducción costes transacción, clústeres.</w:t>
      </w:r>
    </w:p>
    <w:p w14:paraId="11936D0A" w14:textId="77777777" w:rsidR="008F013D" w:rsidRPr="00985D38" w:rsidRDefault="008F013D" w:rsidP="00EA5F19">
      <w:pPr>
        <w:numPr>
          <w:ilvl w:val="1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Negativos: Aumento costes factores (salarios, suelo) por competencia.</w:t>
      </w:r>
    </w:p>
    <w:p w14:paraId="5FCADB51" w14:textId="77777777" w:rsidR="008F013D" w:rsidRPr="00985D38" w:rsidRDefault="008F013D" w:rsidP="00EA5F19">
      <w:pPr>
        <w:numPr>
          <w:ilvl w:val="0"/>
          <w:numId w:val="6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lastRenderedPageBreak/>
        <w:t>Beneficios generales IED:</w:t>
      </w:r>
      <w:r w:rsidRPr="00985D38">
        <w:rPr>
          <w:rFonts w:ascii="Cambria" w:hAnsi="Cambria"/>
        </w:rPr>
        <w:t xml:space="preserve"> Financiación, transferencia tecnológica, productividad, internacionalización y mejores salarios.</w:t>
      </w:r>
    </w:p>
    <w:p w14:paraId="044CA598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5. Acuerdos Internacionales</w:t>
      </w:r>
    </w:p>
    <w:p w14:paraId="0B7972AB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 xml:space="preserve">5.1. </w:t>
      </w:r>
      <w:proofErr w:type="spellStart"/>
      <w:r w:rsidRPr="00985D38">
        <w:rPr>
          <w:rFonts w:ascii="Cambria" w:hAnsi="Cambria"/>
          <w:b/>
          <w:bCs/>
          <w:color w:val="auto"/>
          <w:sz w:val="24"/>
          <w:szCs w:val="24"/>
        </w:rPr>
        <w:t>APPRIs</w:t>
      </w:r>
      <w:proofErr w:type="spellEnd"/>
      <w:r w:rsidRPr="00985D38">
        <w:rPr>
          <w:rFonts w:ascii="Cambria" w:hAnsi="Cambria"/>
          <w:b/>
          <w:bCs/>
          <w:color w:val="auto"/>
          <w:sz w:val="24"/>
          <w:szCs w:val="24"/>
        </w:rPr>
        <w:t xml:space="preserve"> (Acuerdos de Promoción y Protección Recíproca de Inversiones)</w:t>
      </w:r>
    </w:p>
    <w:p w14:paraId="4D30B14F" w14:textId="77777777" w:rsidR="008F013D" w:rsidRPr="00985D38" w:rsidRDefault="008F013D" w:rsidP="00EA5F19">
      <w:pPr>
        <w:numPr>
          <w:ilvl w:val="0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Objetivo:</w:t>
      </w:r>
      <w:r w:rsidRPr="00985D38">
        <w:rPr>
          <w:rFonts w:ascii="Cambria" w:hAnsi="Cambria"/>
        </w:rPr>
        <w:t xml:space="preserve"> Reducir incertidumbre política y jurídica (seguridad al inversor).</w:t>
      </w:r>
    </w:p>
    <w:p w14:paraId="600EFD76" w14:textId="77777777" w:rsidR="008F013D" w:rsidRPr="00985D38" w:rsidRDefault="008F013D" w:rsidP="00EA5F19">
      <w:pPr>
        <w:numPr>
          <w:ilvl w:val="0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Contenido básico:</w:t>
      </w:r>
    </w:p>
    <w:p w14:paraId="3A1E88EF" w14:textId="77777777" w:rsidR="008F013D" w:rsidRPr="00985D38" w:rsidRDefault="008F013D" w:rsidP="00EA5F19">
      <w:pPr>
        <w:numPr>
          <w:ilvl w:val="1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Trato justo y equitativo.</w:t>
      </w:r>
    </w:p>
    <w:p w14:paraId="40781656" w14:textId="77777777" w:rsidR="008F013D" w:rsidRPr="00985D38" w:rsidRDefault="008F013D" w:rsidP="00EA5F19">
      <w:pPr>
        <w:numPr>
          <w:ilvl w:val="1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No discriminación (Trato Nacional y Nación Más Favorecida).</w:t>
      </w:r>
    </w:p>
    <w:p w14:paraId="59FDAF17" w14:textId="77777777" w:rsidR="008F013D" w:rsidRPr="00985D38" w:rsidRDefault="008F013D" w:rsidP="00EA5F19">
      <w:pPr>
        <w:numPr>
          <w:ilvl w:val="1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Regulación de expropiaciones (indemnización pronta y efectiva).</w:t>
      </w:r>
    </w:p>
    <w:p w14:paraId="7432FAFD" w14:textId="77777777" w:rsidR="008F013D" w:rsidRPr="00985D38" w:rsidRDefault="008F013D" w:rsidP="00EA5F19">
      <w:pPr>
        <w:numPr>
          <w:ilvl w:val="1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Libre transferencia de fondos.</w:t>
      </w:r>
    </w:p>
    <w:p w14:paraId="62D3C2DB" w14:textId="77777777" w:rsidR="008F013D" w:rsidRPr="00985D38" w:rsidRDefault="008F013D" w:rsidP="00EA5F19">
      <w:pPr>
        <w:numPr>
          <w:ilvl w:val="1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Resolución de conflictos: Arbitraje internacional (CIADI, CCI, UNCITRAL).</w:t>
      </w:r>
    </w:p>
    <w:p w14:paraId="70E72AA4" w14:textId="77777777" w:rsidR="008F013D" w:rsidRPr="00985D38" w:rsidRDefault="008F013D" w:rsidP="00EA5F19">
      <w:pPr>
        <w:numPr>
          <w:ilvl w:val="0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Vigencia:</w:t>
      </w:r>
      <w:r w:rsidRPr="00985D38">
        <w:rPr>
          <w:rFonts w:ascii="Cambria" w:hAnsi="Cambria"/>
        </w:rPr>
        <w:t xml:space="preserve"> Generalmente 10 años prorrogables + Cláusula de remanencia (protección 10 años tras denuncia).</w:t>
      </w:r>
    </w:p>
    <w:p w14:paraId="6F5BC2AC" w14:textId="77777777" w:rsidR="008F013D" w:rsidRPr="00985D38" w:rsidRDefault="008F013D" w:rsidP="00EA5F19">
      <w:pPr>
        <w:numPr>
          <w:ilvl w:val="0"/>
          <w:numId w:val="7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España:</w:t>
      </w:r>
      <w:r w:rsidRPr="00985D38">
        <w:rPr>
          <w:rFonts w:ascii="Cambria" w:hAnsi="Cambria"/>
        </w:rPr>
        <w:t xml:space="preserve"> 60 acuerdos en vigor (últimos: Arabia Saudí, Mauritania).</w:t>
      </w:r>
    </w:p>
    <w:p w14:paraId="2E482C4F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>5.2. Convenio OCDE contra la Corrupción (1997)</w:t>
      </w:r>
    </w:p>
    <w:p w14:paraId="21D894DD" w14:textId="77777777" w:rsidR="008F013D" w:rsidRPr="00985D38" w:rsidRDefault="008F013D" w:rsidP="00EA5F19">
      <w:pPr>
        <w:numPr>
          <w:ilvl w:val="0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Fin:</w:t>
      </w:r>
      <w:r w:rsidRPr="00985D38">
        <w:rPr>
          <w:rFonts w:ascii="Cambria" w:hAnsi="Cambria"/>
        </w:rPr>
        <w:t xml:space="preserve"> Asegurar libre competencia evitando sobornos a funcionarios extranjeros.</w:t>
      </w:r>
    </w:p>
    <w:p w14:paraId="0CD3A4AD" w14:textId="77777777" w:rsidR="008F013D" w:rsidRPr="00985D38" w:rsidRDefault="008F013D" w:rsidP="00EA5F19">
      <w:pPr>
        <w:numPr>
          <w:ilvl w:val="0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Obligaciones (4 aspectos):</w:t>
      </w:r>
    </w:p>
    <w:p w14:paraId="2E6131C7" w14:textId="77777777" w:rsidR="008F013D" w:rsidRPr="00985D38" w:rsidRDefault="008F013D" w:rsidP="00EA5F19">
      <w:pPr>
        <w:numPr>
          <w:ilvl w:val="1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Penal: Delito de cohecho internacional.</w:t>
      </w:r>
    </w:p>
    <w:p w14:paraId="61BF6A38" w14:textId="77777777" w:rsidR="008F013D" w:rsidRPr="00985D38" w:rsidRDefault="008F013D" w:rsidP="00EA5F19">
      <w:pPr>
        <w:numPr>
          <w:ilvl w:val="1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Contable: Prohibición de "cajas B" o fraude contable.</w:t>
      </w:r>
    </w:p>
    <w:p w14:paraId="075AD8C3" w14:textId="77777777" w:rsidR="008F013D" w:rsidRPr="00985D38" w:rsidRDefault="008F013D" w:rsidP="00EA5F19">
      <w:pPr>
        <w:numPr>
          <w:ilvl w:val="1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Blanqueo: Conexión con blanqueo de capitales.</w:t>
      </w:r>
    </w:p>
    <w:p w14:paraId="433A7254" w14:textId="77777777" w:rsidR="008F013D" w:rsidRPr="00985D38" w:rsidRDefault="008F013D" w:rsidP="00EA5F19">
      <w:pPr>
        <w:numPr>
          <w:ilvl w:val="1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Asistencia legal mutua y extradición.</w:t>
      </w:r>
    </w:p>
    <w:p w14:paraId="3440D0EA" w14:textId="77777777" w:rsidR="008F013D" w:rsidRPr="00985D38" w:rsidRDefault="008F013D" w:rsidP="00EA5F19">
      <w:pPr>
        <w:numPr>
          <w:ilvl w:val="0"/>
          <w:numId w:val="8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Adhesión:</w:t>
      </w:r>
      <w:r w:rsidRPr="00985D38">
        <w:rPr>
          <w:rFonts w:ascii="Cambria" w:hAnsi="Cambria"/>
        </w:rPr>
        <w:t xml:space="preserve"> 46 países. Transpuesto en España en Código Penal.</w:t>
      </w:r>
    </w:p>
    <w:p w14:paraId="359B7707" w14:textId="77777777" w:rsidR="008F013D" w:rsidRPr="00985D38" w:rsidRDefault="008F013D" w:rsidP="00EA5F1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985D38">
        <w:rPr>
          <w:rFonts w:ascii="Cambria" w:hAnsi="Cambria"/>
          <w:b/>
          <w:bCs/>
          <w:color w:val="auto"/>
          <w:sz w:val="24"/>
          <w:szCs w:val="24"/>
        </w:rPr>
        <w:t>5.3. Líneas Directrices OCDE para Multinacionales</w:t>
      </w:r>
    </w:p>
    <w:p w14:paraId="28320F1A" w14:textId="77777777" w:rsidR="008F013D" w:rsidRPr="00985D38" w:rsidRDefault="008F013D" w:rsidP="00EA5F19">
      <w:pPr>
        <w:numPr>
          <w:ilvl w:val="0"/>
          <w:numId w:val="9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Naturaleza:</w:t>
      </w:r>
      <w:r w:rsidRPr="00985D38">
        <w:rPr>
          <w:rFonts w:ascii="Cambria" w:hAnsi="Cambria"/>
        </w:rPr>
        <w:t xml:space="preserve"> Recomendaciones voluntarias sobre conducta empresarial responsable (actualizadas en 2023).</w:t>
      </w:r>
    </w:p>
    <w:p w14:paraId="237A1DD5" w14:textId="77777777" w:rsidR="008F013D" w:rsidRPr="00985D38" w:rsidRDefault="008F013D" w:rsidP="00EA5F19">
      <w:pPr>
        <w:numPr>
          <w:ilvl w:val="0"/>
          <w:numId w:val="9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Contenido (11 capítulos):</w:t>
      </w:r>
      <w:r w:rsidRPr="00985D38">
        <w:rPr>
          <w:rFonts w:ascii="Cambria" w:hAnsi="Cambria"/>
        </w:rPr>
        <w:t xml:space="preserve"> DDHH, empleo, medioambiente, lucha contra corrupción, intereses del consumidor, competencia, fiscalidad, ciencia/tecnología.</w:t>
      </w:r>
    </w:p>
    <w:p w14:paraId="1ED72F80" w14:textId="77777777" w:rsidR="008F013D" w:rsidRPr="00985D38" w:rsidRDefault="008F013D" w:rsidP="00EA5F19">
      <w:pPr>
        <w:numPr>
          <w:ilvl w:val="0"/>
          <w:numId w:val="9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lastRenderedPageBreak/>
        <w:t>Implementación:</w:t>
      </w:r>
      <w:r w:rsidRPr="00985D38">
        <w:rPr>
          <w:rFonts w:ascii="Cambria" w:hAnsi="Cambria"/>
        </w:rPr>
        <w:t xml:space="preserve"> A través de los Puntos Nacionales de Contacto (PNC). En España: Secretaría de Estado de Comercio.</w:t>
      </w:r>
    </w:p>
    <w:p w14:paraId="4046010A" w14:textId="77777777" w:rsidR="008F013D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 xml:space="preserve">6. Los </w:t>
      </w:r>
      <w:proofErr w:type="spellStart"/>
      <w:r w:rsidRPr="00985D38">
        <w:rPr>
          <w:rFonts w:ascii="Cambria" w:hAnsi="Cambria"/>
          <w:b/>
          <w:bCs/>
          <w:color w:val="auto"/>
          <w:sz w:val="28"/>
          <w:szCs w:val="28"/>
        </w:rPr>
        <w:t>APPRIs</w:t>
      </w:r>
      <w:proofErr w:type="spellEnd"/>
      <w:r w:rsidRPr="00985D38">
        <w:rPr>
          <w:rFonts w:ascii="Cambria" w:hAnsi="Cambria"/>
          <w:b/>
          <w:bCs/>
          <w:color w:val="auto"/>
          <w:sz w:val="28"/>
          <w:szCs w:val="28"/>
        </w:rPr>
        <w:t xml:space="preserve"> tras el Tratado de Lisboa</w:t>
      </w:r>
    </w:p>
    <w:p w14:paraId="58A2B7AB" w14:textId="5EF46AD7" w:rsidR="008F013D" w:rsidRPr="00985D38" w:rsidRDefault="008F013D" w:rsidP="00EA5F19">
      <w:pPr>
        <w:numPr>
          <w:ilvl w:val="0"/>
          <w:numId w:val="10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Cambio competencia</w:t>
      </w:r>
      <w:r w:rsidR="004C730B" w:rsidRPr="00985D38">
        <w:rPr>
          <w:rFonts w:ascii="Cambria" w:hAnsi="Cambria"/>
          <w:b/>
          <w:bCs/>
        </w:rPr>
        <w:t>s</w:t>
      </w:r>
      <w:r w:rsidRPr="00985D38">
        <w:rPr>
          <w:rFonts w:ascii="Cambria" w:hAnsi="Cambria"/>
          <w:b/>
          <w:bCs/>
        </w:rPr>
        <w:t xml:space="preserve"> (2009):</w:t>
      </w:r>
      <w:r w:rsidRPr="00985D38">
        <w:rPr>
          <w:rFonts w:ascii="Cambria" w:hAnsi="Cambria"/>
        </w:rPr>
        <w:t xml:space="preserve"> La IED pasa a ser competencia exclusiva de la UE (Política Comercial Común).</w:t>
      </w:r>
    </w:p>
    <w:p w14:paraId="756D0F8F" w14:textId="77777777" w:rsidR="008F013D" w:rsidRPr="00985D38" w:rsidRDefault="008F013D" w:rsidP="00EA5F19">
      <w:pPr>
        <w:numPr>
          <w:ilvl w:val="0"/>
          <w:numId w:val="10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Objetivo:</w:t>
      </w:r>
      <w:r w:rsidRPr="00985D38">
        <w:rPr>
          <w:rFonts w:ascii="Cambria" w:hAnsi="Cambria"/>
        </w:rPr>
        <w:t xml:space="preserve"> Homogeneizar protección y aumentar poder negociador de la UE.</w:t>
      </w:r>
    </w:p>
    <w:p w14:paraId="73FAC520" w14:textId="77777777" w:rsidR="008F013D" w:rsidRPr="00985D38" w:rsidRDefault="008F013D" w:rsidP="00EA5F19">
      <w:pPr>
        <w:numPr>
          <w:ilvl w:val="0"/>
          <w:numId w:val="10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Régimen transitorio (Reglamento 1219/2012):</w:t>
      </w:r>
      <w:r w:rsidRPr="00985D38">
        <w:rPr>
          <w:rFonts w:ascii="Cambria" w:hAnsi="Cambria"/>
        </w:rPr>
        <w:t xml:space="preserve"> Los EEMM pueden mantener sus </w:t>
      </w:r>
      <w:proofErr w:type="spellStart"/>
      <w:r w:rsidRPr="00985D38">
        <w:rPr>
          <w:rFonts w:ascii="Cambria" w:hAnsi="Cambria"/>
        </w:rPr>
        <w:t>APPRIs</w:t>
      </w:r>
      <w:proofErr w:type="spellEnd"/>
      <w:r w:rsidRPr="00985D38">
        <w:rPr>
          <w:rFonts w:ascii="Cambria" w:hAnsi="Cambria"/>
        </w:rPr>
        <w:t xml:space="preserve"> antiguos hasta que la UE celebre nuevos acuerdos.</w:t>
      </w:r>
    </w:p>
    <w:p w14:paraId="76695748" w14:textId="77777777" w:rsidR="008F013D" w:rsidRPr="00985D38" w:rsidRDefault="008F013D" w:rsidP="00EA5F19">
      <w:pPr>
        <w:numPr>
          <w:ilvl w:val="0"/>
          <w:numId w:val="10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Desafío:</w:t>
      </w:r>
      <w:r w:rsidRPr="00985D38">
        <w:rPr>
          <w:rFonts w:ascii="Cambria" w:hAnsi="Cambria"/>
        </w:rPr>
        <w:t xml:space="preserve"> Mecanismo de resolución de litigios. La UE no es miembro del Banco Mundial/CIADI, lo que dificulta su participación directa en arbitrajes bajo normas actuales.</w:t>
      </w:r>
    </w:p>
    <w:p w14:paraId="12043B67" w14:textId="77777777" w:rsidR="00EA5F19" w:rsidRPr="00985D38" w:rsidRDefault="008F013D" w:rsidP="00EA5F1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985D38">
        <w:rPr>
          <w:rFonts w:ascii="Cambria" w:hAnsi="Cambria"/>
          <w:b/>
          <w:bCs/>
          <w:color w:val="auto"/>
          <w:sz w:val="28"/>
          <w:szCs w:val="28"/>
        </w:rPr>
        <w:t>7. Conclusión</w:t>
      </w:r>
    </w:p>
    <w:p w14:paraId="42464C55" w14:textId="47BBFDCB" w:rsidR="008F013D" w:rsidRPr="00985D38" w:rsidRDefault="008F013D" w:rsidP="00EA5F19">
      <w:pPr>
        <w:jc w:val="both"/>
        <w:rPr>
          <w:rFonts w:ascii="Cambria" w:hAnsi="Cambria"/>
          <w:b/>
          <w:bCs/>
        </w:rPr>
      </w:pPr>
      <w:r w:rsidRPr="00985D38">
        <w:rPr>
          <w:rFonts w:ascii="Cambria" w:hAnsi="Cambria"/>
          <w:b/>
          <w:bCs/>
          <w:u w:val="single"/>
        </w:rPr>
        <w:t>ICEX-</w:t>
      </w:r>
      <w:proofErr w:type="spellStart"/>
      <w:r w:rsidRPr="00985D38">
        <w:rPr>
          <w:rFonts w:ascii="Cambria" w:hAnsi="Cambria"/>
          <w:b/>
          <w:bCs/>
          <w:u w:val="single"/>
        </w:rPr>
        <w:t>Invest</w:t>
      </w:r>
      <w:proofErr w:type="spellEnd"/>
      <w:r w:rsidRPr="00985D38">
        <w:rPr>
          <w:rFonts w:ascii="Cambria" w:hAnsi="Cambria"/>
          <w:b/>
          <w:bCs/>
          <w:u w:val="single"/>
        </w:rPr>
        <w:t xml:space="preserve"> in Spain</w:t>
      </w:r>
    </w:p>
    <w:p w14:paraId="1DEB375E" w14:textId="67B075E0" w:rsidR="008F013D" w:rsidRPr="00985D38" w:rsidRDefault="008F013D" w:rsidP="00EA5F19">
      <w:pPr>
        <w:numPr>
          <w:ilvl w:val="0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Entidad:</w:t>
      </w:r>
      <w:r w:rsidRPr="00985D38">
        <w:rPr>
          <w:rFonts w:ascii="Cambria" w:hAnsi="Cambria"/>
        </w:rPr>
        <w:t xml:space="preserve"> Integrada en ICEX </w:t>
      </w:r>
    </w:p>
    <w:p w14:paraId="63B7C67F" w14:textId="77777777" w:rsidR="008F013D" w:rsidRPr="00985D38" w:rsidRDefault="008F013D" w:rsidP="00EA5F19">
      <w:pPr>
        <w:numPr>
          <w:ilvl w:val="0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Misión:</w:t>
      </w:r>
      <w:r w:rsidRPr="00985D38">
        <w:rPr>
          <w:rFonts w:ascii="Cambria" w:hAnsi="Cambria"/>
        </w:rPr>
        <w:t xml:space="preserve"> Promoción y atracción de inversión extranjera directa hacia España.</w:t>
      </w:r>
    </w:p>
    <w:p w14:paraId="1C46DC91" w14:textId="77777777" w:rsidR="008F013D" w:rsidRPr="00985D38" w:rsidRDefault="008F013D" w:rsidP="00EA5F19">
      <w:pPr>
        <w:numPr>
          <w:ilvl w:val="0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Líneas de actuación:</w:t>
      </w:r>
    </w:p>
    <w:p w14:paraId="658865C3" w14:textId="77777777" w:rsidR="008F013D" w:rsidRPr="00985D38" w:rsidRDefault="008F013D" w:rsidP="00EA5F19">
      <w:pPr>
        <w:numPr>
          <w:ilvl w:val="1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Captación de nueva inversión (valor añadido y empleo).</w:t>
      </w:r>
    </w:p>
    <w:p w14:paraId="3CB4E7CB" w14:textId="77777777" w:rsidR="008F013D" w:rsidRPr="00985D38" w:rsidRDefault="008F013D" w:rsidP="00EA5F19">
      <w:pPr>
        <w:numPr>
          <w:ilvl w:val="1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 xml:space="preserve">Servicio </w:t>
      </w:r>
      <w:proofErr w:type="spellStart"/>
      <w:r w:rsidRPr="00985D38">
        <w:rPr>
          <w:rFonts w:ascii="Cambria" w:hAnsi="Cambria"/>
          <w:i/>
          <w:iCs/>
        </w:rPr>
        <w:t>Aftercare</w:t>
      </w:r>
      <w:proofErr w:type="spellEnd"/>
      <w:r w:rsidRPr="00985D38">
        <w:rPr>
          <w:rFonts w:ascii="Cambria" w:hAnsi="Cambria"/>
        </w:rPr>
        <w:t xml:space="preserve"> (fidelización de inversores ya establecidos).</w:t>
      </w:r>
    </w:p>
    <w:p w14:paraId="032D3D8D" w14:textId="77777777" w:rsidR="008F013D" w:rsidRPr="00985D38" w:rsidRDefault="008F013D" w:rsidP="00EA5F19">
      <w:pPr>
        <w:numPr>
          <w:ilvl w:val="1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Mejora del clima de negocios.</w:t>
      </w:r>
    </w:p>
    <w:p w14:paraId="799F05CA" w14:textId="77777777" w:rsidR="008F013D" w:rsidRPr="00985D38" w:rsidRDefault="008F013D" w:rsidP="00EA5F19">
      <w:pPr>
        <w:numPr>
          <w:ilvl w:val="1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</w:rPr>
        <w:t>Promoción de la imagen país (competitivo e innovador).</w:t>
      </w:r>
    </w:p>
    <w:p w14:paraId="64ADFFBC" w14:textId="77777777" w:rsidR="008F013D" w:rsidRPr="00985D38" w:rsidRDefault="008F013D" w:rsidP="00EA5F19">
      <w:pPr>
        <w:numPr>
          <w:ilvl w:val="0"/>
          <w:numId w:val="11"/>
        </w:numPr>
        <w:jc w:val="both"/>
        <w:rPr>
          <w:rFonts w:ascii="Cambria" w:hAnsi="Cambria"/>
        </w:rPr>
      </w:pPr>
      <w:r w:rsidRPr="00985D38">
        <w:rPr>
          <w:rFonts w:ascii="Cambria" w:hAnsi="Cambria"/>
          <w:b/>
          <w:bCs/>
        </w:rPr>
        <w:t>Casos de éxito:</w:t>
      </w:r>
      <w:r w:rsidRPr="00985D38">
        <w:rPr>
          <w:rFonts w:ascii="Cambria" w:hAnsi="Cambria"/>
        </w:rPr>
        <w:t xml:space="preserve"> Costco, Huawei, Volkswagen, Nissan, Chery, etc.</w:t>
      </w:r>
    </w:p>
    <w:p w14:paraId="3EEA4793" w14:textId="77777777" w:rsidR="00A65383" w:rsidRDefault="00A65383" w:rsidP="00EA5F19">
      <w:pPr>
        <w:jc w:val="both"/>
        <w:rPr>
          <w:rFonts w:ascii="Cambria" w:hAnsi="Cambria"/>
        </w:rPr>
      </w:pPr>
    </w:p>
    <w:p w14:paraId="0AAF4E73" w14:textId="77777777" w:rsidR="00082856" w:rsidRPr="00985D38" w:rsidRDefault="00082856" w:rsidP="00EA5F19">
      <w:pPr>
        <w:jc w:val="both"/>
        <w:rPr>
          <w:rFonts w:ascii="Cambria" w:hAnsi="Cambria"/>
        </w:rPr>
      </w:pPr>
    </w:p>
    <w:sectPr w:rsidR="00082856" w:rsidRPr="00985D38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3AF22" w14:textId="77777777" w:rsidR="008F013D" w:rsidRDefault="008F013D" w:rsidP="008F013D">
      <w:pPr>
        <w:spacing w:after="0" w:line="240" w:lineRule="auto"/>
      </w:pPr>
      <w:r>
        <w:separator/>
      </w:r>
    </w:p>
  </w:endnote>
  <w:endnote w:type="continuationSeparator" w:id="0">
    <w:p w14:paraId="7199E3F2" w14:textId="77777777" w:rsidR="008F013D" w:rsidRDefault="008F013D" w:rsidP="008F0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EC189C" w14:textId="77777777" w:rsidR="008F013D" w:rsidRDefault="008F013D" w:rsidP="008F013D">
      <w:pPr>
        <w:spacing w:after="0" w:line="240" w:lineRule="auto"/>
      </w:pPr>
      <w:r>
        <w:separator/>
      </w:r>
    </w:p>
  </w:footnote>
  <w:footnote w:type="continuationSeparator" w:id="0">
    <w:p w14:paraId="3A364173" w14:textId="77777777" w:rsidR="008F013D" w:rsidRDefault="008F013D" w:rsidP="008F0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998C4D" w14:textId="2A9F5CDD" w:rsidR="008F013D" w:rsidRPr="008F013D" w:rsidRDefault="008F013D" w:rsidP="003C6521">
    <w:pPr>
      <w:pStyle w:val="Encabezado"/>
      <w:jc w:val="both"/>
      <w:rPr>
        <w:rFonts w:ascii="Palatino Linotype" w:hAnsi="Palatino Linotype"/>
        <w:i/>
        <w:iCs/>
      </w:rPr>
    </w:pPr>
    <w:r w:rsidRPr="008F013D">
      <w:rPr>
        <w:rFonts w:ascii="Palatino Linotype" w:hAnsi="Palatino Linotype"/>
        <w:b/>
        <w:bCs/>
        <w:i/>
        <w:iCs/>
      </w:rPr>
      <w:t>TEMA 18 -</w:t>
    </w:r>
    <w:r w:rsidRPr="008F013D">
      <w:rPr>
        <w:rFonts w:ascii="Palatino Linotype" w:hAnsi="Palatino Linotype"/>
        <w:i/>
        <w:iCs/>
      </w:rPr>
      <w:t xml:space="preserve"> Inversiones extranjeras. Inversión directa y en valores negociables. Análisis de los flujos mundiales. Efectos sobre el desarrollo económico y el comercio. Acuerdos internacionales: </w:t>
    </w:r>
    <w:proofErr w:type="spellStart"/>
    <w:r w:rsidRPr="008F013D">
      <w:rPr>
        <w:rFonts w:ascii="Palatino Linotype" w:hAnsi="Palatino Linotype"/>
        <w:i/>
        <w:iCs/>
      </w:rPr>
      <w:t>APPRIs</w:t>
    </w:r>
    <w:proofErr w:type="spellEnd"/>
    <w:r w:rsidRPr="008F013D">
      <w:rPr>
        <w:rFonts w:ascii="Palatino Linotype" w:hAnsi="Palatino Linotype"/>
        <w:i/>
        <w:iCs/>
      </w:rPr>
      <w:t xml:space="preserve"> y OCDE. Los </w:t>
    </w:r>
    <w:proofErr w:type="spellStart"/>
    <w:r w:rsidRPr="008F013D">
      <w:rPr>
        <w:rFonts w:ascii="Palatino Linotype" w:hAnsi="Palatino Linotype"/>
        <w:i/>
        <w:iCs/>
      </w:rPr>
      <w:t>APPRIs</w:t>
    </w:r>
    <w:proofErr w:type="spellEnd"/>
    <w:r w:rsidRPr="008F013D">
      <w:rPr>
        <w:rFonts w:ascii="Palatino Linotype" w:hAnsi="Palatino Linotype"/>
        <w:i/>
        <w:iCs/>
      </w:rPr>
      <w:t xml:space="preserve"> tras el Tratado de Lisboa.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B2A3D"/>
    <w:multiLevelType w:val="multilevel"/>
    <w:tmpl w:val="58D67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985C26"/>
    <w:multiLevelType w:val="multilevel"/>
    <w:tmpl w:val="BD644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AAC0C39"/>
    <w:multiLevelType w:val="multilevel"/>
    <w:tmpl w:val="326E37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5995273"/>
    <w:multiLevelType w:val="multilevel"/>
    <w:tmpl w:val="A8789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80D547B"/>
    <w:multiLevelType w:val="multilevel"/>
    <w:tmpl w:val="5ABC32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83A214B"/>
    <w:multiLevelType w:val="multilevel"/>
    <w:tmpl w:val="F9FE4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90F7CF9"/>
    <w:multiLevelType w:val="multilevel"/>
    <w:tmpl w:val="3F18D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6DE4CBE"/>
    <w:multiLevelType w:val="multilevel"/>
    <w:tmpl w:val="9CD0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7F9046D"/>
    <w:multiLevelType w:val="multilevel"/>
    <w:tmpl w:val="0414B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8A021F7"/>
    <w:multiLevelType w:val="multilevel"/>
    <w:tmpl w:val="8CAE6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A921306"/>
    <w:multiLevelType w:val="multilevel"/>
    <w:tmpl w:val="F926D4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380978">
    <w:abstractNumId w:val="5"/>
  </w:num>
  <w:num w:numId="2" w16cid:durableId="704446788">
    <w:abstractNumId w:val="8"/>
  </w:num>
  <w:num w:numId="3" w16cid:durableId="1371882495">
    <w:abstractNumId w:val="2"/>
  </w:num>
  <w:num w:numId="4" w16cid:durableId="1909536024">
    <w:abstractNumId w:val="3"/>
  </w:num>
  <w:num w:numId="5" w16cid:durableId="1457480018">
    <w:abstractNumId w:val="1"/>
  </w:num>
  <w:num w:numId="6" w16cid:durableId="86318031">
    <w:abstractNumId w:val="6"/>
  </w:num>
  <w:num w:numId="7" w16cid:durableId="1336154172">
    <w:abstractNumId w:val="0"/>
  </w:num>
  <w:num w:numId="8" w16cid:durableId="411586483">
    <w:abstractNumId w:val="10"/>
  </w:num>
  <w:num w:numId="9" w16cid:durableId="1032421323">
    <w:abstractNumId w:val="7"/>
  </w:num>
  <w:num w:numId="10" w16cid:durableId="58137065">
    <w:abstractNumId w:val="9"/>
  </w:num>
  <w:num w:numId="11" w16cid:durableId="15769929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13D"/>
    <w:rsid w:val="00082856"/>
    <w:rsid w:val="003C6521"/>
    <w:rsid w:val="00451057"/>
    <w:rsid w:val="004C730B"/>
    <w:rsid w:val="005803BC"/>
    <w:rsid w:val="006C2777"/>
    <w:rsid w:val="008F013D"/>
    <w:rsid w:val="00985D38"/>
    <w:rsid w:val="00A57985"/>
    <w:rsid w:val="00A65383"/>
    <w:rsid w:val="00A8675C"/>
    <w:rsid w:val="00C12CFD"/>
    <w:rsid w:val="00E643E1"/>
    <w:rsid w:val="00EA5F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5F0A08"/>
  <w15:chartTrackingRefBased/>
  <w15:docId w15:val="{5BBCA67F-B0AE-4055-9B3F-9A7A0318D0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F01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8F01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F01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F01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F01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F01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F01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F01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F01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8F01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8F01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F01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F013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F013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F013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F013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F013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F013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F01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F01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F01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F01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F01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F013D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8F013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F01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F013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F013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F01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F013D"/>
  </w:style>
  <w:style w:type="paragraph" w:styleId="Piedepgina">
    <w:name w:val="footer"/>
    <w:basedOn w:val="Normal"/>
    <w:link w:val="PiedepginaCar"/>
    <w:uiPriority w:val="99"/>
    <w:unhideWhenUsed/>
    <w:rsid w:val="008F013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F01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5</Pages>
  <Words>1031</Words>
  <Characters>5673</Characters>
  <Application>Microsoft Office Word</Application>
  <DocSecurity>0</DocSecurity>
  <Lines>47</Lines>
  <Paragraphs>13</Paragraphs>
  <ScaleCrop>false</ScaleCrop>
  <Company/>
  <LinksUpToDate>false</LinksUpToDate>
  <CharactersWithSpaces>6691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7</cp:revision>
  <dcterms:created xsi:type="dcterms:W3CDTF">2025-11-21T17:19:00Z</dcterms:created>
  <dcterms:modified xsi:type="dcterms:W3CDTF">2026-01-14T14:12:00Z</dcterms:modified>
</cp:coreProperties>
</file>