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964B3" w14:textId="7777777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6608E9A3" w14:textId="77777777" w:rsidR="00892401" w:rsidRPr="00CF5864" w:rsidRDefault="00892401" w:rsidP="00BF1515">
      <w:pPr>
        <w:numPr>
          <w:ilvl w:val="0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Contexto de internacionalización:</w:t>
      </w:r>
    </w:p>
    <w:p w14:paraId="7EF7FE69" w14:textId="77777777" w:rsidR="00892401" w:rsidRPr="00CF5864" w:rsidRDefault="00892401" w:rsidP="00BF1515">
      <w:pPr>
        <w:numPr>
          <w:ilvl w:val="1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Crecimiento del comercio, mercados financieros y flujos de capital.</w:t>
      </w:r>
    </w:p>
    <w:p w14:paraId="0AE7FE14" w14:textId="553EB628" w:rsidR="00892401" w:rsidRPr="00CF5864" w:rsidRDefault="00892401" w:rsidP="00BF1515">
      <w:pPr>
        <w:numPr>
          <w:ilvl w:val="1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Expansión de las multinacionales.</w:t>
      </w:r>
    </w:p>
    <w:p w14:paraId="010B0988" w14:textId="77777777" w:rsidR="00892401" w:rsidRPr="00CF5864" w:rsidRDefault="00892401" w:rsidP="00BF1515">
      <w:pPr>
        <w:numPr>
          <w:ilvl w:val="0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Efectos positivos de la inversión extranjera:</w:t>
      </w:r>
    </w:p>
    <w:p w14:paraId="1F7945BB" w14:textId="77777777" w:rsidR="00892401" w:rsidRPr="00CF5864" w:rsidRDefault="00892401" w:rsidP="00BF1515">
      <w:pPr>
        <w:numPr>
          <w:ilvl w:val="1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Complementa el ahorro nacional.</w:t>
      </w:r>
    </w:p>
    <w:p w14:paraId="0A74C791" w14:textId="77777777" w:rsidR="00892401" w:rsidRPr="00CF5864" w:rsidRDefault="00892401" w:rsidP="00BF1515">
      <w:pPr>
        <w:numPr>
          <w:ilvl w:val="1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Fomenta competencia, innovación, transferencia de tecnología (</w:t>
      </w:r>
      <w:r w:rsidRPr="00CF5864">
        <w:rPr>
          <w:rFonts w:ascii="Cambria" w:hAnsi="Cambria"/>
          <w:i/>
          <w:iCs/>
        </w:rPr>
        <w:t>know-how</w:t>
      </w:r>
      <w:r w:rsidRPr="00CF5864">
        <w:rPr>
          <w:rFonts w:ascii="Cambria" w:hAnsi="Cambria"/>
        </w:rPr>
        <w:t>) y empleo.</w:t>
      </w:r>
    </w:p>
    <w:p w14:paraId="3D18C03C" w14:textId="77777777" w:rsidR="00892401" w:rsidRPr="00CF5864" w:rsidRDefault="00892401" w:rsidP="00BF1515">
      <w:pPr>
        <w:numPr>
          <w:ilvl w:val="1"/>
          <w:numId w:val="1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Alternativa al endeudamiento externo y disciplina de políticas económicas.</w:t>
      </w:r>
    </w:p>
    <w:p w14:paraId="7993829E" w14:textId="7777777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2. Características Generales</w:t>
      </w:r>
    </w:p>
    <w:p w14:paraId="2B06CE34" w14:textId="77777777" w:rsidR="00892401" w:rsidRPr="00CF5864" w:rsidRDefault="00892401" w:rsidP="00BF1515">
      <w:pPr>
        <w:numPr>
          <w:ilvl w:val="0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Principio regulador:</w:t>
      </w:r>
      <w:r w:rsidRPr="00CF5864">
        <w:rPr>
          <w:rFonts w:ascii="Cambria" w:hAnsi="Cambria"/>
        </w:rPr>
        <w:t xml:space="preserve"> Libertad de movimientos ("erga omnes"), aplicable a UE y terceros países.</w:t>
      </w:r>
    </w:p>
    <w:p w14:paraId="3F215C76" w14:textId="77777777" w:rsidR="00892401" w:rsidRPr="00CF5864" w:rsidRDefault="00892401" w:rsidP="00BF1515">
      <w:pPr>
        <w:numPr>
          <w:ilvl w:val="1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Excepción:</w:t>
      </w:r>
      <w:r w:rsidRPr="00CF5864">
        <w:rPr>
          <w:rFonts w:ascii="Cambria" w:hAnsi="Cambria"/>
        </w:rPr>
        <w:t xml:space="preserve"> Inversiones en paraísos fiscales (tratamiento especial).</w:t>
      </w:r>
    </w:p>
    <w:p w14:paraId="7DE4DDDA" w14:textId="77777777" w:rsidR="00892401" w:rsidRPr="00CF5864" w:rsidRDefault="00892401" w:rsidP="00BF1515">
      <w:pPr>
        <w:numPr>
          <w:ilvl w:val="0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Titulares legítimos:</w:t>
      </w:r>
    </w:p>
    <w:p w14:paraId="501FDCDF" w14:textId="77777777" w:rsidR="00892401" w:rsidRPr="00CF5864" w:rsidRDefault="00892401" w:rsidP="00BF1515">
      <w:pPr>
        <w:numPr>
          <w:ilvl w:val="1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Personas físicas residentes en España (españoles o extranjeros).</w:t>
      </w:r>
    </w:p>
    <w:p w14:paraId="71692768" w14:textId="77777777" w:rsidR="00892401" w:rsidRPr="00CF5864" w:rsidRDefault="00892401" w:rsidP="00BF1515">
      <w:pPr>
        <w:numPr>
          <w:ilvl w:val="1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Personas jurídicas domiciliadas en España.</w:t>
      </w:r>
    </w:p>
    <w:p w14:paraId="6A19BD29" w14:textId="77777777" w:rsidR="00892401" w:rsidRPr="00CF5864" w:rsidRDefault="00892401" w:rsidP="00BF1515">
      <w:pPr>
        <w:numPr>
          <w:ilvl w:val="0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Obligación administrativa:</w:t>
      </w:r>
      <w:r w:rsidRPr="00CF5864">
        <w:rPr>
          <w:rFonts w:ascii="Cambria" w:hAnsi="Cambria"/>
        </w:rPr>
        <w:t xml:space="preserve"> Declaración al </w:t>
      </w:r>
      <w:r w:rsidRPr="00CF5864">
        <w:rPr>
          <w:rFonts w:ascii="Cambria" w:hAnsi="Cambria"/>
          <w:b/>
          <w:bCs/>
        </w:rPr>
        <w:t>Registro de Inversiones Exteriores</w:t>
      </w:r>
      <w:r w:rsidRPr="00CF5864">
        <w:rPr>
          <w:rFonts w:ascii="Cambria" w:hAnsi="Cambria"/>
        </w:rPr>
        <w:t xml:space="preserve"> (Ministerio de Economía/Comercio).</w:t>
      </w:r>
    </w:p>
    <w:p w14:paraId="787ABBD0" w14:textId="2FA00163" w:rsidR="00892401" w:rsidRPr="00CF5864" w:rsidRDefault="00892401" w:rsidP="00BF1515">
      <w:pPr>
        <w:numPr>
          <w:ilvl w:val="1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Regla general: Declaración posterior a la inversión.</w:t>
      </w:r>
    </w:p>
    <w:p w14:paraId="17840650" w14:textId="36D2B49A" w:rsidR="00892401" w:rsidRPr="00CF5864" w:rsidRDefault="00892401" w:rsidP="00BF1515">
      <w:pPr>
        <w:numPr>
          <w:ilvl w:val="1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Paraísos fiscales: Declaración previa.</w:t>
      </w:r>
    </w:p>
    <w:p w14:paraId="3EF2E655" w14:textId="77777777" w:rsidR="00892401" w:rsidRPr="00CF5864" w:rsidRDefault="00892401" w:rsidP="00BF1515">
      <w:pPr>
        <w:numPr>
          <w:ilvl w:val="0"/>
          <w:numId w:val="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Tipos de Inversión:</w:t>
      </w:r>
    </w:p>
    <w:p w14:paraId="077B185C" w14:textId="77777777" w:rsidR="00892401" w:rsidRPr="00CF5864" w:rsidRDefault="00892401" w:rsidP="00BF1515">
      <w:pPr>
        <w:numPr>
          <w:ilvl w:val="1"/>
          <w:numId w:val="3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Directa:</w:t>
      </w:r>
      <w:r w:rsidRPr="00CF5864">
        <w:rPr>
          <w:rFonts w:ascii="Cambria" w:hAnsi="Cambria"/>
        </w:rPr>
        <w:t xml:space="preserve"> Participación ≥ 10% capital o gestión; sucursales; préstamos &gt; 5 años.</w:t>
      </w:r>
    </w:p>
    <w:p w14:paraId="18622DDB" w14:textId="77777777" w:rsidR="00892401" w:rsidRPr="00CF5864" w:rsidRDefault="00892401" w:rsidP="00BF1515">
      <w:pPr>
        <w:numPr>
          <w:ilvl w:val="1"/>
          <w:numId w:val="3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Cartera (Valores Negociables):</w:t>
      </w:r>
      <w:r w:rsidRPr="00CF5864">
        <w:rPr>
          <w:rFonts w:ascii="Cambria" w:hAnsi="Cambria"/>
        </w:rPr>
        <w:t xml:space="preserve"> &lt; 10% capital, sin gestión; fondos de inversión.</w:t>
      </w:r>
    </w:p>
    <w:p w14:paraId="0985F963" w14:textId="77777777" w:rsidR="00892401" w:rsidRPr="00CF5864" w:rsidRDefault="00892401" w:rsidP="00BF1515">
      <w:pPr>
        <w:numPr>
          <w:ilvl w:val="1"/>
          <w:numId w:val="3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Inmuebles:</w:t>
      </w:r>
      <w:r w:rsidRPr="00CF5864">
        <w:rPr>
          <w:rFonts w:ascii="Cambria" w:hAnsi="Cambria"/>
        </w:rPr>
        <w:t xml:space="preserve"> Propiedad y derechos reales.</w:t>
      </w:r>
    </w:p>
    <w:p w14:paraId="73BD01BC" w14:textId="77777777" w:rsidR="00892401" w:rsidRPr="00CF5864" w:rsidRDefault="00892401" w:rsidP="00BF1515">
      <w:pPr>
        <w:numPr>
          <w:ilvl w:val="1"/>
          <w:numId w:val="3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Otras:</w:t>
      </w:r>
      <w:r w:rsidRPr="00CF5864">
        <w:rPr>
          <w:rFonts w:ascii="Cambria" w:hAnsi="Cambria"/>
        </w:rPr>
        <w:t xml:space="preserve"> Cooperativas, fundaciones, cuentas en participación.</w:t>
      </w:r>
    </w:p>
    <w:p w14:paraId="34F88109" w14:textId="7777777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lastRenderedPageBreak/>
        <w:t>3. Normativa y Tramitación</w:t>
      </w:r>
    </w:p>
    <w:p w14:paraId="3C7AF3F0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3.1. Marco Normativo</w:t>
      </w:r>
    </w:p>
    <w:p w14:paraId="53ED0478" w14:textId="0E3B9EBF" w:rsidR="00892401" w:rsidRPr="00CF5864" w:rsidRDefault="00892401" w:rsidP="00BF1515">
      <w:pPr>
        <w:numPr>
          <w:ilvl w:val="0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Nivel Comunitario:</w:t>
      </w:r>
      <w:r w:rsidRPr="00CF5864">
        <w:rPr>
          <w:rFonts w:ascii="Cambria" w:hAnsi="Cambria"/>
        </w:rPr>
        <w:t xml:space="preserve"> Tratado de Maastricht (Art. 73 libertad de capitales) y Reglamento (UE) 2019/452 (control de </w:t>
      </w:r>
      <w:proofErr w:type="spellStart"/>
      <w:r w:rsidRPr="00CF5864">
        <w:rPr>
          <w:rFonts w:ascii="Cambria" w:hAnsi="Cambria"/>
        </w:rPr>
        <w:t>inversione</w:t>
      </w:r>
      <w:proofErr w:type="spellEnd"/>
    </w:p>
    <w:p w14:paraId="6231884B" w14:textId="77777777" w:rsidR="00BF478A" w:rsidRPr="00CF5864" w:rsidRDefault="00BF478A" w:rsidP="00BF1515">
      <w:pPr>
        <w:numPr>
          <w:ilvl w:val="0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Nivel Nacional:</w:t>
      </w:r>
    </w:p>
    <w:p w14:paraId="21468BD3" w14:textId="77777777" w:rsidR="00BF478A" w:rsidRPr="00CF5864" w:rsidRDefault="00BF478A" w:rsidP="00BF1515">
      <w:pPr>
        <w:numPr>
          <w:ilvl w:val="1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Ley 19/2003:</w:t>
      </w:r>
      <w:r w:rsidRPr="00CF5864">
        <w:rPr>
          <w:rFonts w:ascii="Cambria" w:hAnsi="Cambria"/>
        </w:rPr>
        <w:t xml:space="preserve"> Régimen jurídico de movimientos de capitales.</w:t>
      </w:r>
    </w:p>
    <w:p w14:paraId="2A6EEAAE" w14:textId="77777777" w:rsidR="00BF478A" w:rsidRPr="00CF5864" w:rsidRDefault="00BF478A" w:rsidP="00BF1515">
      <w:pPr>
        <w:numPr>
          <w:ilvl w:val="2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Establece libertad y definiciones (residente/no residente).</w:t>
      </w:r>
    </w:p>
    <w:p w14:paraId="7C2DE48F" w14:textId="77777777" w:rsidR="00BF478A" w:rsidRPr="00CF5864" w:rsidRDefault="00BF478A" w:rsidP="00BF1515">
      <w:pPr>
        <w:numPr>
          <w:ilvl w:val="2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Régimen sancionador (infracciones muy graves, graves y leves).</w:t>
      </w:r>
    </w:p>
    <w:p w14:paraId="07A62981" w14:textId="77777777" w:rsidR="00BF478A" w:rsidRPr="00CF5864" w:rsidRDefault="00BF478A" w:rsidP="00BF1515">
      <w:pPr>
        <w:numPr>
          <w:ilvl w:val="2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Cláusulas de salvaguardia (suspensión de liberalización).</w:t>
      </w:r>
    </w:p>
    <w:p w14:paraId="0C92EE8B" w14:textId="77777777" w:rsidR="00BF478A" w:rsidRPr="00CF5864" w:rsidRDefault="00BF478A" w:rsidP="00BF1515">
      <w:pPr>
        <w:numPr>
          <w:ilvl w:val="1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Real Decreto 571/2023:</w:t>
      </w:r>
      <w:r w:rsidRPr="00CF5864">
        <w:rPr>
          <w:rFonts w:ascii="Cambria" w:hAnsi="Cambria"/>
        </w:rPr>
        <w:t xml:space="preserve"> Regula inversiones exteriores y adecúa el ordenamiento a la normativa UE.</w:t>
      </w:r>
    </w:p>
    <w:p w14:paraId="7BD5F234" w14:textId="77777777" w:rsidR="00BF478A" w:rsidRPr="00CF5864" w:rsidRDefault="00BF478A" w:rsidP="00BF1515">
      <w:pPr>
        <w:numPr>
          <w:ilvl w:val="1"/>
          <w:numId w:val="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 xml:space="preserve">Régimen de suspensión ("Escudo </w:t>
      </w:r>
      <w:proofErr w:type="spellStart"/>
      <w:r w:rsidRPr="00CF5864">
        <w:rPr>
          <w:rFonts w:ascii="Cambria" w:hAnsi="Cambria"/>
          <w:b/>
          <w:bCs/>
        </w:rPr>
        <w:t>anti-opas</w:t>
      </w:r>
      <w:proofErr w:type="spellEnd"/>
      <w:r w:rsidRPr="00CF5864">
        <w:rPr>
          <w:rFonts w:ascii="Cambria" w:hAnsi="Cambria"/>
          <w:b/>
          <w:bCs/>
        </w:rPr>
        <w:t>"):</w:t>
      </w:r>
      <w:r w:rsidRPr="00CF5864">
        <w:rPr>
          <w:rFonts w:ascii="Cambria" w:hAnsi="Cambria"/>
        </w:rPr>
        <w:t xml:space="preserve"> R.D.-ley 34/2020 (y prórrogas). Requiere autorización para inversiones extranjeras directas (&gt;500M€ o estratégicas) de residentes UE/EFTA y extracomunitarios por razones de seguridad/salud pública.</w:t>
      </w:r>
    </w:p>
    <w:p w14:paraId="1500E86F" w14:textId="1AB961B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 xml:space="preserve">3.2. Tramitación </w:t>
      </w:r>
    </w:p>
    <w:p w14:paraId="5EE1B5C7" w14:textId="77777777" w:rsidR="00892401" w:rsidRPr="00CF5864" w:rsidRDefault="00892401" w:rsidP="00BF1515">
      <w:pPr>
        <w:numPr>
          <w:ilvl w:val="0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Regulación:</w:t>
      </w:r>
      <w:r w:rsidRPr="00CF5864">
        <w:rPr>
          <w:rFonts w:ascii="Cambria" w:hAnsi="Cambria"/>
        </w:rPr>
        <w:t xml:space="preserve"> Resoluciones de la Dirección General de Comercio Internacional e Inversiones (última de enero 2024) y Orden ECM/57/2024.</w:t>
      </w:r>
    </w:p>
    <w:p w14:paraId="140769C3" w14:textId="77777777" w:rsidR="00892401" w:rsidRPr="00CF5864" w:rsidRDefault="00892401" w:rsidP="00BF1515">
      <w:pPr>
        <w:numPr>
          <w:ilvl w:val="0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Modelos para Inversión Española en el Exterior:</w:t>
      </w:r>
    </w:p>
    <w:p w14:paraId="7B7128D7" w14:textId="77777777" w:rsidR="00892401" w:rsidRPr="00CF5864" w:rsidRDefault="00892401" w:rsidP="00BF1515">
      <w:pPr>
        <w:numPr>
          <w:ilvl w:val="1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DP-3 / DP-4:</w:t>
      </w:r>
      <w:r w:rsidRPr="00CF5864">
        <w:rPr>
          <w:rFonts w:ascii="Cambria" w:hAnsi="Cambria"/>
        </w:rPr>
        <w:t xml:space="preserve"> Declaración previa en paraísos fiscales (sociedades / inmuebles).</w:t>
      </w:r>
    </w:p>
    <w:p w14:paraId="3F38B97D" w14:textId="77777777" w:rsidR="00892401" w:rsidRPr="00CF5864" w:rsidRDefault="00892401" w:rsidP="00BF1515">
      <w:pPr>
        <w:numPr>
          <w:ilvl w:val="1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D-5A / D-5B:</w:t>
      </w:r>
      <w:r w:rsidRPr="00CF5864">
        <w:rPr>
          <w:rFonts w:ascii="Cambria" w:hAnsi="Cambria"/>
        </w:rPr>
        <w:t xml:space="preserve"> Inversión/Desinversión en sociedades no cotizadas y sucursales.</w:t>
      </w:r>
    </w:p>
    <w:p w14:paraId="7E30D423" w14:textId="77777777" w:rsidR="00892401" w:rsidRPr="00CF5864" w:rsidRDefault="00892401" w:rsidP="00BF1515">
      <w:pPr>
        <w:numPr>
          <w:ilvl w:val="1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D-7A / D-7B:</w:t>
      </w:r>
      <w:r w:rsidRPr="00CF5864">
        <w:rPr>
          <w:rFonts w:ascii="Cambria" w:hAnsi="Cambria"/>
        </w:rPr>
        <w:t xml:space="preserve"> Inversión/Desinversión en bienes inmuebles.</w:t>
      </w:r>
    </w:p>
    <w:p w14:paraId="324739DA" w14:textId="77777777" w:rsidR="00892401" w:rsidRPr="00CF5864" w:rsidRDefault="00892401" w:rsidP="00BF1515">
      <w:pPr>
        <w:numPr>
          <w:ilvl w:val="1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D-6:</w:t>
      </w:r>
      <w:r w:rsidRPr="00CF5864">
        <w:rPr>
          <w:rFonts w:ascii="Cambria" w:hAnsi="Cambria"/>
        </w:rPr>
        <w:t xml:space="preserve"> Titulares de inversión en valores negociables.</w:t>
      </w:r>
    </w:p>
    <w:p w14:paraId="718332D7" w14:textId="77777777" w:rsidR="00892401" w:rsidRPr="00CF5864" w:rsidRDefault="00892401" w:rsidP="00BF1515">
      <w:pPr>
        <w:numPr>
          <w:ilvl w:val="1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D-8:</w:t>
      </w:r>
      <w:r w:rsidRPr="00CF5864">
        <w:rPr>
          <w:rFonts w:ascii="Cambria" w:hAnsi="Cambria"/>
        </w:rPr>
        <w:t xml:space="preserve"> Memoria anual de la inversión en el exterior.</w:t>
      </w:r>
    </w:p>
    <w:p w14:paraId="5142495B" w14:textId="77777777" w:rsidR="00892401" w:rsidRPr="00CF5864" w:rsidRDefault="00892401" w:rsidP="00BF1515">
      <w:pPr>
        <w:numPr>
          <w:ilvl w:val="0"/>
          <w:numId w:val="5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Herramienta:</w:t>
      </w:r>
      <w:r w:rsidRPr="00CF5864">
        <w:rPr>
          <w:rFonts w:ascii="Cambria" w:hAnsi="Cambria"/>
        </w:rPr>
        <w:t xml:space="preserve"> Programa </w:t>
      </w:r>
      <w:r w:rsidRPr="00CF5864">
        <w:rPr>
          <w:rFonts w:ascii="Cambria" w:hAnsi="Cambria"/>
          <w:b/>
          <w:bCs/>
        </w:rPr>
        <w:t>AFORIX</w:t>
      </w:r>
      <w:r w:rsidRPr="00CF5864">
        <w:rPr>
          <w:rFonts w:ascii="Cambria" w:hAnsi="Cambria"/>
        </w:rPr>
        <w:t xml:space="preserve"> para cumplimentación telemática.</w:t>
      </w:r>
    </w:p>
    <w:p w14:paraId="77050D95" w14:textId="6FC548C9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4. Registro de Inversiones</w:t>
      </w:r>
    </w:p>
    <w:p w14:paraId="20844D46" w14:textId="77777777" w:rsidR="00BF478A" w:rsidRPr="00CF5864" w:rsidRDefault="00BF478A" w:rsidP="00BF1515">
      <w:pPr>
        <w:numPr>
          <w:ilvl w:val="0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Función:</w:t>
      </w:r>
      <w:r w:rsidRPr="00CF5864">
        <w:rPr>
          <w:rFonts w:ascii="Cambria" w:hAnsi="Cambria"/>
        </w:rPr>
        <w:t xml:space="preserve"> Registro administrativo y estadístico de operaciones declaradas.</w:t>
      </w:r>
    </w:p>
    <w:p w14:paraId="0E953C91" w14:textId="77777777" w:rsidR="00BF478A" w:rsidRPr="00CF5864" w:rsidRDefault="00BF478A" w:rsidP="00BF1515">
      <w:pPr>
        <w:numPr>
          <w:ilvl w:val="0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Contenido:</w:t>
      </w:r>
    </w:p>
    <w:p w14:paraId="0E413AC1" w14:textId="77777777" w:rsidR="00BF478A" w:rsidRPr="00CF5864" w:rsidRDefault="00BF478A" w:rsidP="00BF1515">
      <w:pPr>
        <w:numPr>
          <w:ilvl w:val="1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lastRenderedPageBreak/>
        <w:t>Incluye participación en capital y préstamos capitalizados.</w:t>
      </w:r>
    </w:p>
    <w:p w14:paraId="7777BACD" w14:textId="77777777" w:rsidR="00BF478A" w:rsidRPr="00CF5864" w:rsidRDefault="00BF478A" w:rsidP="00BF1515">
      <w:pPr>
        <w:numPr>
          <w:ilvl w:val="1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Excluye financiación entre empresas relacionadas y reinversión de beneficios (salvo capitalización).</w:t>
      </w:r>
    </w:p>
    <w:p w14:paraId="47464F9F" w14:textId="77777777" w:rsidR="00BF478A" w:rsidRPr="00CF5864" w:rsidRDefault="00BF478A" w:rsidP="00BF1515">
      <w:pPr>
        <w:numPr>
          <w:ilvl w:val="0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Entidades de Tenencia de Valores Extranjeros (ETVE):</w:t>
      </w:r>
      <w:r w:rsidRPr="00CF5864">
        <w:rPr>
          <w:rFonts w:ascii="Cambria" w:hAnsi="Cambria"/>
        </w:rPr>
        <w:t xml:space="preserve"> Tratamiento diferenciado en estadísticas por ser instrumentales (sin impacto directo en empleo/activos, solo canalizan dividendos).</w:t>
      </w:r>
    </w:p>
    <w:p w14:paraId="6F69580E" w14:textId="77777777" w:rsidR="00BF478A" w:rsidRPr="00CF5864" w:rsidRDefault="00BF478A" w:rsidP="00BF1515">
      <w:pPr>
        <w:numPr>
          <w:ilvl w:val="0"/>
          <w:numId w:val="16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Diferencias con Balanza de Pagos (Banco de España):</w:t>
      </w:r>
    </w:p>
    <w:p w14:paraId="3764145C" w14:textId="77777777" w:rsidR="00BF478A" w:rsidRPr="00CF5864" w:rsidRDefault="00BF478A" w:rsidP="00BF1515">
      <w:pPr>
        <w:numPr>
          <w:ilvl w:val="1"/>
          <w:numId w:val="17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Conceptos:</w:t>
      </w:r>
      <w:r w:rsidRPr="00CF5864">
        <w:rPr>
          <w:rFonts w:ascii="Cambria" w:hAnsi="Cambria"/>
        </w:rPr>
        <w:t xml:space="preserve"> BP incluye reinversión de beneficios y financiación </w:t>
      </w:r>
      <w:proofErr w:type="spellStart"/>
      <w:r w:rsidRPr="00CF5864">
        <w:rPr>
          <w:rFonts w:ascii="Cambria" w:hAnsi="Cambria"/>
        </w:rPr>
        <w:t>inter-empresas</w:t>
      </w:r>
      <w:proofErr w:type="spellEnd"/>
      <w:r w:rsidRPr="00CF5864">
        <w:rPr>
          <w:rFonts w:ascii="Cambria" w:hAnsi="Cambria"/>
        </w:rPr>
        <w:t>; RIE no.</w:t>
      </w:r>
    </w:p>
    <w:p w14:paraId="156DF041" w14:textId="77777777" w:rsidR="00BF478A" w:rsidRPr="00CF5864" w:rsidRDefault="00BF478A" w:rsidP="00BF1515">
      <w:pPr>
        <w:numPr>
          <w:ilvl w:val="1"/>
          <w:numId w:val="17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Criterio temporal:</w:t>
      </w:r>
      <w:r w:rsidRPr="00CF5864">
        <w:rPr>
          <w:rFonts w:ascii="Cambria" w:hAnsi="Cambria"/>
        </w:rPr>
        <w:t xml:space="preserve"> BP usa criterio de caja (pagos); RIE usa criterio de devengo (formalización).</w:t>
      </w:r>
    </w:p>
    <w:p w14:paraId="35A6B77E" w14:textId="77777777" w:rsidR="00BF478A" w:rsidRPr="00CF5864" w:rsidRDefault="00BF478A" w:rsidP="00BF1515">
      <w:pPr>
        <w:numPr>
          <w:ilvl w:val="1"/>
          <w:numId w:val="17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Criterio geográfico:</w:t>
      </w:r>
      <w:r w:rsidRPr="00CF5864">
        <w:rPr>
          <w:rFonts w:ascii="Cambria" w:hAnsi="Cambria"/>
        </w:rPr>
        <w:t xml:space="preserve"> BP asigna al país inmediato (primera contrapartida); RIE asigna al país del inversor final (origen último).</w:t>
      </w:r>
    </w:p>
    <w:p w14:paraId="57DA3A5C" w14:textId="3ACFBED9" w:rsidR="00BF478A" w:rsidRPr="00CF5864" w:rsidRDefault="00BF478A" w:rsidP="00BF1515">
      <w:pPr>
        <w:numPr>
          <w:ilvl w:val="1"/>
          <w:numId w:val="17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Valoración:</w:t>
      </w:r>
      <w:r w:rsidRPr="00CF5864">
        <w:rPr>
          <w:rFonts w:ascii="Cambria" w:hAnsi="Cambria"/>
        </w:rPr>
        <w:t xml:space="preserve"> BP registra flujos netos (activos pasivos); RIE registra valores brutos y desinversiones por separado.</w:t>
      </w:r>
    </w:p>
    <w:p w14:paraId="5A5CF52C" w14:textId="7777777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5. Posición Internacional (Datos 2023)</w:t>
      </w:r>
    </w:p>
    <w:p w14:paraId="3B368196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5.1. Inversión Bruta</w:t>
      </w:r>
    </w:p>
    <w:p w14:paraId="351620D9" w14:textId="77777777" w:rsidR="00892401" w:rsidRPr="00CF5864" w:rsidRDefault="00892401" w:rsidP="00BF1515">
      <w:pPr>
        <w:numPr>
          <w:ilvl w:val="0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Volumen:</w:t>
      </w:r>
      <w:r w:rsidRPr="00CF5864">
        <w:rPr>
          <w:rFonts w:ascii="Cambria" w:hAnsi="Cambria"/>
        </w:rPr>
        <w:t xml:space="preserve"> 21.425 M€ (caída del 41,6% respecto a 2022).</w:t>
      </w:r>
    </w:p>
    <w:p w14:paraId="2CF6F801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Inversión productiva (No ETVE): 18.655 M€ (mínimo de 10 años en bruto, pero positivo en términos netos por bajas desinversiones).</w:t>
      </w:r>
    </w:p>
    <w:p w14:paraId="199509AB" w14:textId="77777777" w:rsidR="00892401" w:rsidRPr="00CF5864" w:rsidRDefault="00892401" w:rsidP="00BF1515">
      <w:pPr>
        <w:numPr>
          <w:ilvl w:val="0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Tipología:</w:t>
      </w:r>
    </w:p>
    <w:p w14:paraId="05A0ADA8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Predominio de empresas no pertenecientes a grandes grupos (52,6%).</w:t>
      </w:r>
    </w:p>
    <w:p w14:paraId="0032B2EB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Preferencia por operaciones Greenfield/Brownfield (nueva/ampliación) frente a adquisiciones.</w:t>
      </w:r>
    </w:p>
    <w:p w14:paraId="34068D48" w14:textId="77777777" w:rsidR="00892401" w:rsidRPr="00CF5864" w:rsidRDefault="00892401" w:rsidP="00BF1515">
      <w:pPr>
        <w:numPr>
          <w:ilvl w:val="0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Geografía (Destino):</w:t>
      </w:r>
    </w:p>
    <w:p w14:paraId="7A66C790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proofErr w:type="gramStart"/>
      <w:r w:rsidRPr="00CF5864">
        <w:rPr>
          <w:rFonts w:ascii="Cambria" w:hAnsi="Cambria"/>
          <w:b/>
          <w:bCs/>
        </w:rPr>
        <w:t>EEUU</w:t>
      </w:r>
      <w:proofErr w:type="gramEnd"/>
      <w:r w:rsidRPr="00CF5864">
        <w:rPr>
          <w:rFonts w:ascii="Cambria" w:hAnsi="Cambria"/>
          <w:b/>
          <w:bCs/>
        </w:rPr>
        <w:t xml:space="preserve"> (31,5%):</w:t>
      </w:r>
      <w:r w:rsidRPr="00CF5864">
        <w:rPr>
          <w:rFonts w:ascii="Cambria" w:hAnsi="Cambria"/>
        </w:rPr>
        <w:t xml:space="preserve"> Principal receptor (sector financiero/seguros).</w:t>
      </w:r>
    </w:p>
    <w:p w14:paraId="5402E7AE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Otros:</w:t>
      </w:r>
      <w:r w:rsidRPr="00CF5864">
        <w:rPr>
          <w:rFonts w:ascii="Cambria" w:hAnsi="Cambria"/>
        </w:rPr>
        <w:t xml:space="preserve"> Luxemburgo (tránsito financiero), Brasil (energía), México. Caída notable en Reino Unido y Alemania.</w:t>
      </w:r>
    </w:p>
    <w:p w14:paraId="0E7EEE88" w14:textId="77777777" w:rsidR="00892401" w:rsidRPr="00CF5864" w:rsidRDefault="00892401" w:rsidP="00BF1515">
      <w:pPr>
        <w:numPr>
          <w:ilvl w:val="0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Sectores:</w:t>
      </w:r>
    </w:p>
    <w:p w14:paraId="36919599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Servicios (64%):</w:t>
      </w:r>
      <w:r w:rsidRPr="00CF5864">
        <w:rPr>
          <w:rFonts w:ascii="Cambria" w:hAnsi="Cambria"/>
        </w:rPr>
        <w:t xml:space="preserve"> Liderado por Financiero y Seguros.</w:t>
      </w:r>
    </w:p>
    <w:p w14:paraId="0A24DF49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lastRenderedPageBreak/>
        <w:t>Industria:</w:t>
      </w:r>
      <w:r w:rsidRPr="00CF5864">
        <w:rPr>
          <w:rFonts w:ascii="Cambria" w:hAnsi="Cambria"/>
        </w:rPr>
        <w:t xml:space="preserve"> Fuerte retroceso.</w:t>
      </w:r>
    </w:p>
    <w:p w14:paraId="439698AF" w14:textId="77777777" w:rsidR="00892401" w:rsidRPr="00CF5864" w:rsidRDefault="00892401" w:rsidP="00BF1515">
      <w:pPr>
        <w:numPr>
          <w:ilvl w:val="1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Destacados:</w:t>
      </w:r>
      <w:r w:rsidRPr="00CF5864">
        <w:rPr>
          <w:rFonts w:ascii="Cambria" w:hAnsi="Cambria"/>
        </w:rPr>
        <w:t xml:space="preserve"> Transporte/almacenamiento, Energías renovables (eólica/hidroeléctrica) y Reaseguros.</w:t>
      </w:r>
    </w:p>
    <w:p w14:paraId="036C4F04" w14:textId="77777777" w:rsidR="00892401" w:rsidRPr="00CF5864" w:rsidRDefault="00892401" w:rsidP="00BF1515">
      <w:pPr>
        <w:numPr>
          <w:ilvl w:val="0"/>
          <w:numId w:val="8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Origen (CC.AA.):</w:t>
      </w:r>
      <w:r w:rsidRPr="00CF5864">
        <w:rPr>
          <w:rFonts w:ascii="Cambria" w:hAnsi="Cambria"/>
        </w:rPr>
        <w:t xml:space="preserve"> Madrid (60,6%), seguido de Asturias y Cantabria.</w:t>
      </w:r>
    </w:p>
    <w:p w14:paraId="6D1FECF8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5.2. Desinversiones</w:t>
      </w:r>
    </w:p>
    <w:p w14:paraId="7CD2DFD9" w14:textId="77777777" w:rsidR="00892401" w:rsidRPr="00CF5864" w:rsidRDefault="00892401" w:rsidP="00BF1515">
      <w:pPr>
        <w:numPr>
          <w:ilvl w:val="0"/>
          <w:numId w:val="9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Tendencia:</w:t>
      </w:r>
      <w:r w:rsidRPr="00CF5864">
        <w:rPr>
          <w:rFonts w:ascii="Cambria" w:hAnsi="Cambria"/>
        </w:rPr>
        <w:t xml:space="preserve"> Fuerte disminución (-94,6% en liquidaciones). Se opta mayoritariamente por la venta de activos (83%).</w:t>
      </w:r>
    </w:p>
    <w:p w14:paraId="40E28E7A" w14:textId="77777777" w:rsidR="00892401" w:rsidRPr="00CF5864" w:rsidRDefault="00892401" w:rsidP="00BF1515">
      <w:pPr>
        <w:numPr>
          <w:ilvl w:val="0"/>
          <w:numId w:val="9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Geografía:</w:t>
      </w:r>
      <w:r w:rsidRPr="00CF5864">
        <w:rPr>
          <w:rFonts w:ascii="Cambria" w:hAnsi="Cambria"/>
        </w:rPr>
        <w:t xml:space="preserve"> Desinversiones concentradas en Reino Unido, Noruega, Rusia y </w:t>
      </w:r>
      <w:proofErr w:type="gramStart"/>
      <w:r w:rsidRPr="00CF5864">
        <w:rPr>
          <w:rFonts w:ascii="Cambria" w:hAnsi="Cambria"/>
        </w:rPr>
        <w:t>EEUU</w:t>
      </w:r>
      <w:proofErr w:type="gramEnd"/>
      <w:r w:rsidRPr="00CF5864">
        <w:rPr>
          <w:rFonts w:ascii="Cambria" w:hAnsi="Cambria"/>
        </w:rPr>
        <w:t>.</w:t>
      </w:r>
    </w:p>
    <w:p w14:paraId="4E80C7E5" w14:textId="77777777" w:rsidR="00892401" w:rsidRPr="00CF5864" w:rsidRDefault="00892401" w:rsidP="00BF1515">
      <w:pPr>
        <w:numPr>
          <w:ilvl w:val="0"/>
          <w:numId w:val="9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Sectores:</w:t>
      </w:r>
      <w:r w:rsidRPr="00CF5864">
        <w:rPr>
          <w:rFonts w:ascii="Cambria" w:hAnsi="Cambria"/>
        </w:rPr>
        <w:t xml:space="preserve"> Financiero, Comercio y Construcción.</w:t>
      </w:r>
    </w:p>
    <w:p w14:paraId="3D817369" w14:textId="7777777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6. Efectos de las Inversiones en el Exterior</w:t>
      </w:r>
    </w:p>
    <w:p w14:paraId="2A35471B" w14:textId="77777777" w:rsidR="00892401" w:rsidRPr="00CF5864" w:rsidRDefault="00892401" w:rsidP="00BF1515">
      <w:pPr>
        <w:numPr>
          <w:ilvl w:val="0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Evolución histórica:</w:t>
      </w:r>
    </w:p>
    <w:p w14:paraId="58F5A6FB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Años 90 ("Push </w:t>
      </w:r>
      <w:proofErr w:type="spellStart"/>
      <w:r w:rsidRPr="00CF5864">
        <w:rPr>
          <w:rFonts w:ascii="Cambria" w:hAnsi="Cambria"/>
        </w:rPr>
        <w:t>factors</w:t>
      </w:r>
      <w:proofErr w:type="spellEnd"/>
      <w:r w:rsidRPr="00CF5864">
        <w:rPr>
          <w:rFonts w:ascii="Cambria" w:hAnsi="Cambria"/>
        </w:rPr>
        <w:t>"): España se convierte en inversor neto.</w:t>
      </w:r>
    </w:p>
    <w:p w14:paraId="6313D2A8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Crisis 2008: Ralentización, pero mantenimiento de pauta ascendente (internacionalización como refugio).</w:t>
      </w:r>
    </w:p>
    <w:p w14:paraId="0A857151" w14:textId="77777777" w:rsidR="00892401" w:rsidRPr="00CF5864" w:rsidRDefault="00892401" w:rsidP="00BF1515">
      <w:pPr>
        <w:numPr>
          <w:ilvl w:val="0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Beneficios:</w:t>
      </w:r>
    </w:p>
    <w:p w14:paraId="3C58F4B0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Modernización productiva y competitividad.</w:t>
      </w:r>
    </w:p>
    <w:p w14:paraId="3BAFC99F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Efecto arrastre sobre proveedores nacionales.</w:t>
      </w:r>
    </w:p>
    <w:p w14:paraId="61D6AFC0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Potenciación de "Marca España".</w:t>
      </w:r>
    </w:p>
    <w:p w14:paraId="04215489" w14:textId="77777777" w:rsidR="00892401" w:rsidRPr="00CF5864" w:rsidRDefault="00892401" w:rsidP="00BF1515">
      <w:pPr>
        <w:numPr>
          <w:ilvl w:val="0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Estrategia geográfica:</w:t>
      </w:r>
    </w:p>
    <w:p w14:paraId="0DB4C1F2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Tradicional: Liderazgo en Latinoamérica y UE.</w:t>
      </w:r>
    </w:p>
    <w:p w14:paraId="6A8120E7" w14:textId="6228C1D2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Actual: Diversificación hacia </w:t>
      </w:r>
      <w:proofErr w:type="gramStart"/>
      <w:r w:rsidRPr="00CF5864">
        <w:rPr>
          <w:rFonts w:ascii="Cambria" w:hAnsi="Cambria"/>
          <w:b/>
          <w:bCs/>
        </w:rPr>
        <w:t>EEUU</w:t>
      </w:r>
      <w:proofErr w:type="gramEnd"/>
      <w:r w:rsidRPr="00CF5864">
        <w:rPr>
          <w:rFonts w:ascii="Cambria" w:hAnsi="Cambria"/>
        </w:rPr>
        <w:t xml:space="preserve"> (ganando peso frente a </w:t>
      </w:r>
      <w:proofErr w:type="spellStart"/>
      <w:r w:rsidRPr="00CF5864">
        <w:rPr>
          <w:rFonts w:ascii="Cambria" w:hAnsi="Cambria"/>
        </w:rPr>
        <w:t>Lat</w:t>
      </w:r>
      <w:r w:rsidR="00CE41F5" w:rsidRPr="00CF5864">
        <w:rPr>
          <w:rFonts w:ascii="Cambria" w:hAnsi="Cambria"/>
        </w:rPr>
        <w:t>a</w:t>
      </w:r>
      <w:r w:rsidRPr="00CF5864">
        <w:rPr>
          <w:rFonts w:ascii="Cambria" w:hAnsi="Cambria"/>
        </w:rPr>
        <w:t>m</w:t>
      </w:r>
      <w:proofErr w:type="spellEnd"/>
      <w:r w:rsidRPr="00CF5864">
        <w:rPr>
          <w:rFonts w:ascii="Cambria" w:hAnsi="Cambria"/>
        </w:rPr>
        <w:t xml:space="preserve"> y UE).</w:t>
      </w:r>
    </w:p>
    <w:p w14:paraId="76D81C66" w14:textId="77777777" w:rsidR="00892401" w:rsidRPr="00CF5864" w:rsidRDefault="00892401" w:rsidP="00BF1515">
      <w:pPr>
        <w:numPr>
          <w:ilvl w:val="1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Nuevas oportunidades: Asia y mercados puntuales (Cuba).</w:t>
      </w:r>
    </w:p>
    <w:p w14:paraId="5BC67721" w14:textId="77777777" w:rsidR="00892401" w:rsidRPr="00CF5864" w:rsidRDefault="00892401" w:rsidP="00BF1515">
      <w:pPr>
        <w:numPr>
          <w:ilvl w:val="0"/>
          <w:numId w:val="10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Riesgos actuales:</w:t>
      </w:r>
      <w:r w:rsidRPr="00CF5864">
        <w:rPr>
          <w:rFonts w:ascii="Cambria" w:hAnsi="Cambria"/>
        </w:rPr>
        <w:t xml:space="preserve"> Endeudamiento, Brexit, inestabilidad en China y efecto contagio de Latinoamérica.</w:t>
      </w:r>
    </w:p>
    <w:p w14:paraId="67D5136A" w14:textId="5F464F07" w:rsidR="00892401" w:rsidRPr="00CF5864" w:rsidRDefault="00892401" w:rsidP="00BF1515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F5864">
        <w:rPr>
          <w:rFonts w:ascii="Cambria" w:hAnsi="Cambria"/>
          <w:b/>
          <w:bCs/>
          <w:color w:val="auto"/>
          <w:sz w:val="28"/>
          <w:szCs w:val="28"/>
        </w:rPr>
        <w:t>7. Promoción de Inversiones</w:t>
      </w:r>
    </w:p>
    <w:p w14:paraId="7456AEF5" w14:textId="4F6E37A8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7.1. Instrumentos Fiscales (Ley 27/2014)</w:t>
      </w:r>
    </w:p>
    <w:p w14:paraId="3C82EAF5" w14:textId="77777777" w:rsidR="00892401" w:rsidRPr="00CF5864" w:rsidRDefault="00892401" w:rsidP="00BF1515">
      <w:pPr>
        <w:numPr>
          <w:ilvl w:val="0"/>
          <w:numId w:val="11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Reserva de Capitalización:</w:t>
      </w:r>
      <w:r w:rsidRPr="00CF5864">
        <w:rPr>
          <w:rFonts w:ascii="Cambria" w:hAnsi="Cambria"/>
        </w:rPr>
        <w:t xml:space="preserve"> No tributación de beneficios destinados a reservas indisponibles (saneamiento).</w:t>
      </w:r>
    </w:p>
    <w:p w14:paraId="057C9FE2" w14:textId="77777777" w:rsidR="00892401" w:rsidRPr="00CF5864" w:rsidRDefault="00892401" w:rsidP="00BF1515">
      <w:pPr>
        <w:numPr>
          <w:ilvl w:val="0"/>
          <w:numId w:val="11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lastRenderedPageBreak/>
        <w:t>Exención por participaciones significativas:</w:t>
      </w:r>
      <w:r w:rsidRPr="00CF5864">
        <w:rPr>
          <w:rFonts w:ascii="Cambria" w:hAnsi="Cambria"/>
        </w:rPr>
        <w:t xml:space="preserve"> Elimina doble imposición internacional (requisito mín. 10% tributación en origen o Convenio).</w:t>
      </w:r>
    </w:p>
    <w:p w14:paraId="190E63A4" w14:textId="77777777" w:rsidR="00892401" w:rsidRPr="00CF5864" w:rsidRDefault="00892401" w:rsidP="00BF1515">
      <w:pPr>
        <w:numPr>
          <w:ilvl w:val="0"/>
          <w:numId w:val="11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Deducciones:</w:t>
      </w:r>
      <w:r w:rsidRPr="00CF5864">
        <w:rPr>
          <w:rFonts w:ascii="Cambria" w:hAnsi="Cambria"/>
        </w:rPr>
        <w:t xml:space="preserve"> I+D+i y creación de empleo.</w:t>
      </w:r>
    </w:p>
    <w:p w14:paraId="58114971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7.2. Instrumentos Financieros</w:t>
      </w:r>
    </w:p>
    <w:p w14:paraId="2A3B5D1A" w14:textId="29EC6912" w:rsidR="00892401" w:rsidRPr="00CF5864" w:rsidRDefault="00892401" w:rsidP="00BF1515">
      <w:pPr>
        <w:numPr>
          <w:ilvl w:val="0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ICO</w:t>
      </w:r>
    </w:p>
    <w:p w14:paraId="426F7B3F" w14:textId="77777777" w:rsidR="00892401" w:rsidRPr="00CF5864" w:rsidRDefault="00892401" w:rsidP="00BF1515">
      <w:pPr>
        <w:numPr>
          <w:ilvl w:val="1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Líneas de Mediación (riesgo entidad): ICO Internacional, ICO Exportadores, ICO Canal Internacional.</w:t>
      </w:r>
    </w:p>
    <w:p w14:paraId="49D800B2" w14:textId="2AE5BF84" w:rsidR="00892401" w:rsidRPr="00CF5864" w:rsidRDefault="00892401" w:rsidP="00BF1515">
      <w:pPr>
        <w:numPr>
          <w:ilvl w:val="0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COFIDES</w:t>
      </w:r>
    </w:p>
    <w:p w14:paraId="7E9F7A36" w14:textId="77777777" w:rsidR="00892401" w:rsidRPr="00CF5864" w:rsidRDefault="00892401" w:rsidP="00BF1515">
      <w:pPr>
        <w:numPr>
          <w:ilvl w:val="1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Capital público-privado.</w:t>
      </w:r>
    </w:p>
    <w:p w14:paraId="472069BF" w14:textId="77777777" w:rsidR="00892401" w:rsidRPr="00CF5864" w:rsidRDefault="00892401" w:rsidP="00BF1515">
      <w:pPr>
        <w:numPr>
          <w:ilvl w:val="1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>Gestión de fondos del Estado (</w:t>
      </w:r>
      <w:r w:rsidRPr="00CF5864">
        <w:rPr>
          <w:rFonts w:ascii="Cambria" w:hAnsi="Cambria"/>
          <w:b/>
          <w:bCs/>
        </w:rPr>
        <w:t>FIEX</w:t>
      </w:r>
      <w:r w:rsidRPr="00CF5864">
        <w:rPr>
          <w:rFonts w:ascii="Cambria" w:hAnsi="Cambria"/>
        </w:rPr>
        <w:t xml:space="preserve"> para grandes proyectos, </w:t>
      </w:r>
      <w:r w:rsidRPr="00CF5864">
        <w:rPr>
          <w:rFonts w:ascii="Cambria" w:hAnsi="Cambria"/>
          <w:b/>
          <w:bCs/>
        </w:rPr>
        <w:t>FONPYME</w:t>
      </w:r>
      <w:r w:rsidRPr="00CF5864">
        <w:rPr>
          <w:rFonts w:ascii="Cambria" w:hAnsi="Cambria"/>
        </w:rPr>
        <w:t xml:space="preserve"> para PYMES).</w:t>
      </w:r>
    </w:p>
    <w:p w14:paraId="41858F3E" w14:textId="77777777" w:rsidR="00892401" w:rsidRPr="00CF5864" w:rsidRDefault="00892401" w:rsidP="00BF1515">
      <w:pPr>
        <w:numPr>
          <w:ilvl w:val="1"/>
          <w:numId w:val="12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Programa </w:t>
      </w:r>
      <w:r w:rsidRPr="00CF5864">
        <w:rPr>
          <w:rFonts w:ascii="Cambria" w:hAnsi="Cambria"/>
          <w:b/>
          <w:bCs/>
        </w:rPr>
        <w:t>Pyme-Invierte</w:t>
      </w:r>
      <w:r w:rsidRPr="00CF5864">
        <w:rPr>
          <w:rFonts w:ascii="Cambria" w:hAnsi="Cambria"/>
        </w:rPr>
        <w:t xml:space="preserve"> (con ICEX): Financiación + Asesoramiento integral.</w:t>
      </w:r>
    </w:p>
    <w:p w14:paraId="3BD5029C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7.3. Instrumentos de Garantía</w:t>
      </w:r>
    </w:p>
    <w:p w14:paraId="75D1E047" w14:textId="77777777" w:rsidR="00892401" w:rsidRPr="00CF5864" w:rsidRDefault="00892401" w:rsidP="00BF1515">
      <w:pPr>
        <w:numPr>
          <w:ilvl w:val="0"/>
          <w:numId w:val="13"/>
        </w:numPr>
        <w:jc w:val="both"/>
        <w:rPr>
          <w:rFonts w:ascii="Cambria" w:hAnsi="Cambria"/>
        </w:rPr>
      </w:pPr>
      <w:proofErr w:type="spellStart"/>
      <w:r w:rsidRPr="00CF5864">
        <w:rPr>
          <w:rFonts w:ascii="Cambria" w:hAnsi="Cambria"/>
          <w:b/>
          <w:bCs/>
        </w:rPr>
        <w:t>APPRIs</w:t>
      </w:r>
      <w:proofErr w:type="spellEnd"/>
      <w:r w:rsidRPr="00CF5864">
        <w:rPr>
          <w:rFonts w:ascii="Cambria" w:hAnsi="Cambria"/>
          <w:b/>
          <w:bCs/>
        </w:rPr>
        <w:t>:</w:t>
      </w:r>
      <w:r w:rsidRPr="00CF5864">
        <w:rPr>
          <w:rFonts w:ascii="Cambria" w:hAnsi="Cambria"/>
        </w:rPr>
        <w:t xml:space="preserve"> Protección jurídica recíproca.</w:t>
      </w:r>
    </w:p>
    <w:p w14:paraId="0F95FA2F" w14:textId="77777777" w:rsidR="00892401" w:rsidRPr="00CF5864" w:rsidRDefault="00892401" w:rsidP="00BF1515">
      <w:pPr>
        <w:numPr>
          <w:ilvl w:val="0"/>
          <w:numId w:val="13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Seguro CESCE:</w:t>
      </w:r>
      <w:r w:rsidRPr="00CF5864">
        <w:rPr>
          <w:rFonts w:ascii="Cambria" w:hAnsi="Cambria"/>
        </w:rPr>
        <w:t xml:space="preserve"> Póliza de Inversiones en el Exterior (cubre riesgos políticos por cuenta del Estado).</w:t>
      </w:r>
    </w:p>
    <w:p w14:paraId="07AB9041" w14:textId="77777777" w:rsidR="00892401" w:rsidRPr="00CF5864" w:rsidRDefault="00892401" w:rsidP="00BF1515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F5864">
        <w:rPr>
          <w:rFonts w:ascii="Cambria" w:hAnsi="Cambria"/>
          <w:b/>
          <w:bCs/>
          <w:color w:val="auto"/>
          <w:sz w:val="24"/>
          <w:szCs w:val="24"/>
        </w:rPr>
        <w:t>7.4. ICEX España Exportación e Inversiones</w:t>
      </w:r>
    </w:p>
    <w:p w14:paraId="5BC9C369" w14:textId="77777777" w:rsidR="00892401" w:rsidRPr="00CF5864" w:rsidRDefault="00892401" w:rsidP="00BF1515">
      <w:pPr>
        <w:numPr>
          <w:ilvl w:val="0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Misión:</w:t>
      </w:r>
      <w:r w:rsidRPr="00CF5864">
        <w:rPr>
          <w:rFonts w:ascii="Cambria" w:hAnsi="Cambria"/>
        </w:rPr>
        <w:t xml:space="preserve"> Promover internacionalización y atraer inversión.</w:t>
      </w:r>
    </w:p>
    <w:p w14:paraId="665A7D04" w14:textId="77777777" w:rsidR="00892401" w:rsidRPr="00CF5864" w:rsidRDefault="00892401" w:rsidP="00BF1515">
      <w:pPr>
        <w:numPr>
          <w:ilvl w:val="0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Programas destacados:</w:t>
      </w:r>
    </w:p>
    <w:p w14:paraId="387AF58B" w14:textId="439BC498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ICEX NEXT </w:t>
      </w:r>
    </w:p>
    <w:p w14:paraId="602AAF55" w14:textId="4050BD29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ICEX SOURCING </w:t>
      </w:r>
    </w:p>
    <w:p w14:paraId="609547EA" w14:textId="674A0E1E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CONECTA2 </w:t>
      </w:r>
    </w:p>
    <w:p w14:paraId="59F4B565" w14:textId="3A32445A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</w:rPr>
        <w:t xml:space="preserve">ICEX </w:t>
      </w:r>
      <w:proofErr w:type="gramStart"/>
      <w:r w:rsidRPr="00CF5864">
        <w:rPr>
          <w:rFonts w:ascii="Cambria" w:hAnsi="Cambria"/>
        </w:rPr>
        <w:t>INFLUENCER</w:t>
      </w:r>
      <w:proofErr w:type="gramEnd"/>
      <w:r w:rsidRPr="00CF5864">
        <w:rPr>
          <w:rFonts w:ascii="Cambria" w:hAnsi="Cambria"/>
        </w:rPr>
        <w:t xml:space="preserve"> </w:t>
      </w:r>
    </w:p>
    <w:p w14:paraId="1BDFD848" w14:textId="77777777" w:rsidR="00892401" w:rsidRPr="00CF5864" w:rsidRDefault="00892401" w:rsidP="00BF1515">
      <w:pPr>
        <w:numPr>
          <w:ilvl w:val="0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Planificación Estratégica:</w:t>
      </w:r>
    </w:p>
    <w:p w14:paraId="75790DE8" w14:textId="77777777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Estrategia de Internacionalización 2017-2027:</w:t>
      </w:r>
      <w:r w:rsidRPr="00CF5864">
        <w:rPr>
          <w:rFonts w:ascii="Cambria" w:hAnsi="Cambria"/>
        </w:rPr>
        <w:t xml:space="preserve"> Objetivos de aumentar base exportadora, diversificar mercados y valor añadido.</w:t>
      </w:r>
    </w:p>
    <w:p w14:paraId="40176F9F" w14:textId="77777777" w:rsidR="00892401" w:rsidRPr="00CF5864" w:rsidRDefault="00892401" w:rsidP="00BF1515">
      <w:pPr>
        <w:numPr>
          <w:ilvl w:val="1"/>
          <w:numId w:val="14"/>
        </w:numPr>
        <w:jc w:val="both"/>
        <w:rPr>
          <w:rFonts w:ascii="Cambria" w:hAnsi="Cambria"/>
        </w:rPr>
      </w:pPr>
      <w:r w:rsidRPr="00CF5864">
        <w:rPr>
          <w:rFonts w:ascii="Cambria" w:hAnsi="Cambria"/>
          <w:b/>
          <w:bCs/>
        </w:rPr>
        <w:t>Estrategia PASE:</w:t>
      </w:r>
      <w:r w:rsidRPr="00CF5864">
        <w:rPr>
          <w:rFonts w:ascii="Cambria" w:hAnsi="Cambria"/>
        </w:rPr>
        <w:t xml:space="preserve"> Enfoque sectorial-país (sustituye a antiguos PIDM). Países prioritarios: </w:t>
      </w:r>
      <w:proofErr w:type="gramStart"/>
      <w:r w:rsidRPr="00CF5864">
        <w:rPr>
          <w:rFonts w:ascii="Cambria" w:hAnsi="Cambria"/>
        </w:rPr>
        <w:t>EEUU</w:t>
      </w:r>
      <w:proofErr w:type="gramEnd"/>
      <w:r w:rsidRPr="00CF5864">
        <w:rPr>
          <w:rFonts w:ascii="Cambria" w:hAnsi="Cambria"/>
        </w:rPr>
        <w:t>, China, México, India, Brasil, entre otros.</w:t>
      </w:r>
    </w:p>
    <w:p w14:paraId="6929C5E1" w14:textId="77777777" w:rsidR="00A65383" w:rsidRPr="00CF5864" w:rsidRDefault="00A65383" w:rsidP="00BF1515">
      <w:pPr>
        <w:jc w:val="both"/>
        <w:rPr>
          <w:rFonts w:ascii="Cambria" w:hAnsi="Cambria"/>
        </w:rPr>
      </w:pPr>
    </w:p>
    <w:sectPr w:rsidR="00A65383" w:rsidRPr="00CF586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1A775" w14:textId="77777777" w:rsidR="00892401" w:rsidRDefault="00892401" w:rsidP="00892401">
      <w:pPr>
        <w:spacing w:after="0" w:line="240" w:lineRule="auto"/>
      </w:pPr>
      <w:r>
        <w:separator/>
      </w:r>
    </w:p>
  </w:endnote>
  <w:endnote w:type="continuationSeparator" w:id="0">
    <w:p w14:paraId="6AE4185D" w14:textId="77777777" w:rsidR="00892401" w:rsidRDefault="00892401" w:rsidP="00892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0DE09" w14:textId="77777777" w:rsidR="00892401" w:rsidRDefault="00892401" w:rsidP="00892401">
      <w:pPr>
        <w:spacing w:after="0" w:line="240" w:lineRule="auto"/>
      </w:pPr>
      <w:r>
        <w:separator/>
      </w:r>
    </w:p>
  </w:footnote>
  <w:footnote w:type="continuationSeparator" w:id="0">
    <w:p w14:paraId="503FF567" w14:textId="77777777" w:rsidR="00892401" w:rsidRDefault="00892401" w:rsidP="00892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C8830" w14:textId="3FB66536" w:rsidR="00892401" w:rsidRPr="00892401" w:rsidRDefault="00892401" w:rsidP="00892401">
    <w:pPr>
      <w:pStyle w:val="Encabezado"/>
      <w:jc w:val="both"/>
      <w:rPr>
        <w:rFonts w:ascii="Palatino Linotype" w:hAnsi="Palatino Linotype"/>
        <w:i/>
        <w:iCs/>
      </w:rPr>
    </w:pPr>
    <w:r w:rsidRPr="00892401">
      <w:rPr>
        <w:rFonts w:ascii="Palatino Linotype" w:hAnsi="Palatino Linotype"/>
        <w:b/>
        <w:bCs/>
        <w:i/>
        <w:iCs/>
      </w:rPr>
      <w:t>TEMA 19 -</w:t>
    </w:r>
    <w:r w:rsidRPr="00892401">
      <w:rPr>
        <w:rFonts w:ascii="Palatino Linotype" w:hAnsi="Palatino Linotype"/>
        <w:i/>
        <w:iCs/>
      </w:rPr>
      <w:t xml:space="preserve"> Inversión española en el exterior: Normativa y tramitación en España. Registro de inversiones. Posición internacional. Análisis de flujos. Distribución por sectores y países de destino. Efectos. Promoción de inversiones en el exterior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1ECD"/>
    <w:multiLevelType w:val="multilevel"/>
    <w:tmpl w:val="CF22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14A99"/>
    <w:multiLevelType w:val="multilevel"/>
    <w:tmpl w:val="1EB4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2A019A"/>
    <w:multiLevelType w:val="multilevel"/>
    <w:tmpl w:val="1BDA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A1ACF"/>
    <w:multiLevelType w:val="multilevel"/>
    <w:tmpl w:val="4CD8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A0E54"/>
    <w:multiLevelType w:val="multilevel"/>
    <w:tmpl w:val="C6F0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9F280A"/>
    <w:multiLevelType w:val="multilevel"/>
    <w:tmpl w:val="6562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47D83"/>
    <w:multiLevelType w:val="multilevel"/>
    <w:tmpl w:val="E2A0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3B6E0A"/>
    <w:multiLevelType w:val="multilevel"/>
    <w:tmpl w:val="6A12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9A6566"/>
    <w:multiLevelType w:val="multilevel"/>
    <w:tmpl w:val="AEF0B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4515C5"/>
    <w:multiLevelType w:val="multilevel"/>
    <w:tmpl w:val="BC78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B76D2"/>
    <w:multiLevelType w:val="hybridMultilevel"/>
    <w:tmpl w:val="5156EA8C"/>
    <w:lvl w:ilvl="0" w:tplc="7EA6195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550FF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BA6C5D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758FAD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E2655F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D5CCF9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C0223A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32E66A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F6834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47A3E"/>
    <w:multiLevelType w:val="multilevel"/>
    <w:tmpl w:val="BCBC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67116"/>
    <w:multiLevelType w:val="multilevel"/>
    <w:tmpl w:val="7146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677EC"/>
    <w:multiLevelType w:val="multilevel"/>
    <w:tmpl w:val="C48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C2CA0"/>
    <w:multiLevelType w:val="hybridMultilevel"/>
    <w:tmpl w:val="4B20886E"/>
    <w:lvl w:ilvl="0" w:tplc="8F74D13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FCA2F9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CD6E7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0E4E5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80CEA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954C43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A9627A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390CA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2B626D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7C502B"/>
    <w:multiLevelType w:val="multilevel"/>
    <w:tmpl w:val="B0F0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13F76"/>
    <w:multiLevelType w:val="hybridMultilevel"/>
    <w:tmpl w:val="A6A6D7D4"/>
    <w:lvl w:ilvl="0" w:tplc="652A60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E2E8B4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2E66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6886F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C603E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17AB0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403EDC9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BDCD92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C4666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989357">
    <w:abstractNumId w:val="6"/>
  </w:num>
  <w:num w:numId="2" w16cid:durableId="387648541">
    <w:abstractNumId w:val="15"/>
  </w:num>
  <w:num w:numId="3" w16cid:durableId="1494224233">
    <w:abstractNumId w:val="14"/>
  </w:num>
  <w:num w:numId="4" w16cid:durableId="1361007648">
    <w:abstractNumId w:val="3"/>
  </w:num>
  <w:num w:numId="5" w16cid:durableId="1778057711">
    <w:abstractNumId w:val="2"/>
  </w:num>
  <w:num w:numId="6" w16cid:durableId="1127815422">
    <w:abstractNumId w:val="11"/>
  </w:num>
  <w:num w:numId="7" w16cid:durableId="458569248">
    <w:abstractNumId w:val="16"/>
  </w:num>
  <w:num w:numId="8" w16cid:durableId="524749652">
    <w:abstractNumId w:val="1"/>
  </w:num>
  <w:num w:numId="9" w16cid:durableId="1105492523">
    <w:abstractNumId w:val="9"/>
  </w:num>
  <w:num w:numId="10" w16cid:durableId="986664939">
    <w:abstractNumId w:val="0"/>
  </w:num>
  <w:num w:numId="11" w16cid:durableId="455298901">
    <w:abstractNumId w:val="4"/>
  </w:num>
  <w:num w:numId="12" w16cid:durableId="360327064">
    <w:abstractNumId w:val="7"/>
  </w:num>
  <w:num w:numId="13" w16cid:durableId="1718361391">
    <w:abstractNumId w:val="5"/>
  </w:num>
  <w:num w:numId="14" w16cid:durableId="335575798">
    <w:abstractNumId w:val="8"/>
  </w:num>
  <w:num w:numId="15" w16cid:durableId="1736080538">
    <w:abstractNumId w:val="12"/>
  </w:num>
  <w:num w:numId="16" w16cid:durableId="1319729489">
    <w:abstractNumId w:val="13"/>
  </w:num>
  <w:num w:numId="17" w16cid:durableId="17116896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401"/>
    <w:rsid w:val="00231292"/>
    <w:rsid w:val="00490F03"/>
    <w:rsid w:val="005803BC"/>
    <w:rsid w:val="00892401"/>
    <w:rsid w:val="00994A5E"/>
    <w:rsid w:val="00A079F3"/>
    <w:rsid w:val="00A65383"/>
    <w:rsid w:val="00A8675C"/>
    <w:rsid w:val="00BF1515"/>
    <w:rsid w:val="00BF478A"/>
    <w:rsid w:val="00C12CFD"/>
    <w:rsid w:val="00CB6D70"/>
    <w:rsid w:val="00CE41F5"/>
    <w:rsid w:val="00CF5864"/>
    <w:rsid w:val="00FD1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2ED5B"/>
  <w15:chartTrackingRefBased/>
  <w15:docId w15:val="{1C4CAC41-4468-44C2-BE89-82A72EB0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2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2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2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2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2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2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2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2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2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92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2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2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24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24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24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24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24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24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2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2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2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2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2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240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924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2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24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240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924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2401"/>
  </w:style>
  <w:style w:type="paragraph" w:styleId="Piedepgina">
    <w:name w:val="footer"/>
    <w:basedOn w:val="Normal"/>
    <w:link w:val="PiedepginaCar"/>
    <w:uiPriority w:val="99"/>
    <w:unhideWhenUsed/>
    <w:rsid w:val="008924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4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1010</Words>
  <Characters>5558</Characters>
  <Application>Microsoft Office Word</Application>
  <DocSecurity>0</DocSecurity>
  <Lines>46</Lines>
  <Paragraphs>13</Paragraphs>
  <ScaleCrop>false</ScaleCrop>
  <Company/>
  <LinksUpToDate>false</LinksUpToDate>
  <CharactersWithSpaces>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7</cp:revision>
  <dcterms:created xsi:type="dcterms:W3CDTF">2025-11-21T17:29:00Z</dcterms:created>
  <dcterms:modified xsi:type="dcterms:W3CDTF">2026-01-14T14:23:00Z</dcterms:modified>
</cp:coreProperties>
</file>