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FE85F" w14:textId="77777777" w:rsidR="00111C6A" w:rsidRPr="006C21A6" w:rsidRDefault="00111C6A" w:rsidP="009E0620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6C21A6">
        <w:rPr>
          <w:rFonts w:ascii="Cambria" w:hAnsi="Cambria"/>
          <w:b/>
          <w:bCs/>
          <w:color w:val="auto"/>
          <w:sz w:val="28"/>
          <w:szCs w:val="28"/>
        </w:rPr>
        <w:t>1. Concepto y Generalidades</w:t>
      </w:r>
    </w:p>
    <w:p w14:paraId="23127E46" w14:textId="0178426C" w:rsidR="00111C6A" w:rsidRPr="006C21A6" w:rsidRDefault="00111C6A" w:rsidP="009E0620">
      <w:pPr>
        <w:numPr>
          <w:ilvl w:val="0"/>
          <w:numId w:val="1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Definición:</w:t>
      </w:r>
      <w:r w:rsidRPr="006C21A6">
        <w:rPr>
          <w:rFonts w:ascii="Cambria" w:hAnsi="Cambria"/>
        </w:rPr>
        <w:t xml:space="preserve"> Documento contable que registra sistemáticamente las transacciones económicas reales y financieras entre los residentes de un país y los del resto del mundo durante un periodo determinado.</w:t>
      </w:r>
    </w:p>
    <w:p w14:paraId="178308BE" w14:textId="4AEDC729" w:rsidR="00111C6A" w:rsidRPr="006C21A6" w:rsidRDefault="00111C6A" w:rsidP="009E0620">
      <w:pPr>
        <w:numPr>
          <w:ilvl w:val="0"/>
          <w:numId w:val="1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Importancia:</w:t>
      </w:r>
      <w:r w:rsidRPr="006C21A6">
        <w:rPr>
          <w:rFonts w:ascii="Cambria" w:hAnsi="Cambria"/>
        </w:rPr>
        <w:t xml:space="preserve"> Instrumento esencial para el análisis económico y la política monetaria. En España la elabora el Banco de España siguiendo el Sexto Manual del FMI (MBP6).</w:t>
      </w:r>
    </w:p>
    <w:p w14:paraId="18F3152D" w14:textId="77777777" w:rsidR="00111C6A" w:rsidRPr="006C21A6" w:rsidRDefault="00111C6A" w:rsidP="009E0620">
      <w:pPr>
        <w:numPr>
          <w:ilvl w:val="0"/>
          <w:numId w:val="1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Principios de elaboración:</w:t>
      </w:r>
    </w:p>
    <w:p w14:paraId="40802302" w14:textId="77777777" w:rsidR="00111C6A" w:rsidRPr="006C21A6" w:rsidRDefault="00111C6A" w:rsidP="009E0620">
      <w:pPr>
        <w:numPr>
          <w:ilvl w:val="1"/>
          <w:numId w:val="1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Partida doble:</w:t>
      </w:r>
      <w:r w:rsidRPr="006C21A6">
        <w:rPr>
          <w:rFonts w:ascii="Cambria" w:hAnsi="Cambria"/>
        </w:rPr>
        <w:t xml:space="preserve"> Cada transacción se anota dos veces (Ingresos y Pagos) con igual valor, por lo que el saldo contable es cero por definición.</w:t>
      </w:r>
    </w:p>
    <w:p w14:paraId="0ECBDE65" w14:textId="5865B9DD" w:rsidR="00111C6A" w:rsidRPr="006C21A6" w:rsidRDefault="00111C6A" w:rsidP="009E0620">
      <w:pPr>
        <w:numPr>
          <w:ilvl w:val="1"/>
          <w:numId w:val="1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Residencia:</w:t>
      </w:r>
      <w:r w:rsidRPr="006C21A6">
        <w:rPr>
          <w:rFonts w:ascii="Cambria" w:hAnsi="Cambria"/>
        </w:rPr>
        <w:t xml:space="preserve"> Se basa en el centro de interés económico en el territorio (generalmente permanencia de 1 año o más), independientemente de la nacionalidad.</w:t>
      </w:r>
    </w:p>
    <w:p w14:paraId="3E1F73ED" w14:textId="77777777" w:rsidR="00111C6A" w:rsidRPr="006C21A6" w:rsidRDefault="00111C6A" w:rsidP="009E0620">
      <w:pPr>
        <w:numPr>
          <w:ilvl w:val="1"/>
          <w:numId w:val="1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Valoración:</w:t>
      </w:r>
      <w:r w:rsidRPr="006C21A6">
        <w:rPr>
          <w:rFonts w:ascii="Cambria" w:hAnsi="Cambria"/>
        </w:rPr>
        <w:t xml:space="preserve"> En moneda nacional (euros en España desde 1999) y a precios de mercado. No debe recoger variaciones por tipo de cambio o precio de activos.</w:t>
      </w:r>
    </w:p>
    <w:p w14:paraId="57AF1D85" w14:textId="77777777" w:rsidR="00111C6A" w:rsidRPr="006C21A6" w:rsidRDefault="00111C6A" w:rsidP="009E0620">
      <w:pPr>
        <w:numPr>
          <w:ilvl w:val="1"/>
          <w:numId w:val="1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Devengo:</w:t>
      </w:r>
      <w:r w:rsidRPr="006C21A6">
        <w:rPr>
          <w:rFonts w:ascii="Cambria" w:hAnsi="Cambria"/>
        </w:rPr>
        <w:t xml:space="preserve"> Registro en el momento de creación, transformación o extinción de valor económico, aunque en la práctica a menudo se usa el criterio de caja.</w:t>
      </w:r>
    </w:p>
    <w:p w14:paraId="740C49A9" w14:textId="77777777" w:rsidR="00111C6A" w:rsidRPr="006C21A6" w:rsidRDefault="00111C6A" w:rsidP="009E0620">
      <w:pPr>
        <w:numPr>
          <w:ilvl w:val="1"/>
          <w:numId w:val="1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Flujos financieros:</w:t>
      </w:r>
      <w:r w:rsidRPr="006C21A6">
        <w:rPr>
          <w:rFonts w:ascii="Cambria" w:hAnsi="Cambria"/>
        </w:rPr>
        <w:t xml:space="preserve"> Se registran como variación neta de activos y pasivos (no flujos brutos).</w:t>
      </w:r>
    </w:p>
    <w:p w14:paraId="1672CA23" w14:textId="77777777" w:rsidR="00111C6A" w:rsidRPr="006C21A6" w:rsidRDefault="00111C6A" w:rsidP="009E0620">
      <w:pPr>
        <w:numPr>
          <w:ilvl w:val="0"/>
          <w:numId w:val="1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Fuentes de Información:</w:t>
      </w:r>
      <w:r w:rsidRPr="006C21A6">
        <w:rPr>
          <w:rFonts w:ascii="Cambria" w:hAnsi="Cambria"/>
        </w:rPr>
        <w:t xml:space="preserve"> Sistema de declaración directa y encuestas tras el fin del sistema ITRS en 2014:</w:t>
      </w:r>
    </w:p>
    <w:p w14:paraId="4CC1705D" w14:textId="77777777" w:rsidR="00111C6A" w:rsidRPr="006C21A6" w:rsidRDefault="00111C6A" w:rsidP="009E0620">
      <w:pPr>
        <w:numPr>
          <w:ilvl w:val="1"/>
          <w:numId w:val="1"/>
        </w:numPr>
        <w:jc w:val="both"/>
        <w:rPr>
          <w:rFonts w:ascii="Cambria" w:hAnsi="Cambria"/>
        </w:rPr>
      </w:pPr>
      <w:r w:rsidRPr="006C21A6">
        <w:rPr>
          <w:rFonts w:ascii="Cambria" w:hAnsi="Cambria"/>
        </w:rPr>
        <w:t>Estadística de Comercio Exterior (Aduanas).</w:t>
      </w:r>
    </w:p>
    <w:p w14:paraId="34007CD9" w14:textId="77777777" w:rsidR="00111C6A" w:rsidRPr="006C21A6" w:rsidRDefault="00111C6A" w:rsidP="009E0620">
      <w:pPr>
        <w:numPr>
          <w:ilvl w:val="1"/>
          <w:numId w:val="1"/>
        </w:numPr>
        <w:jc w:val="both"/>
        <w:rPr>
          <w:rFonts w:ascii="Cambria" w:hAnsi="Cambria"/>
        </w:rPr>
      </w:pPr>
      <w:r w:rsidRPr="006C21A6">
        <w:rPr>
          <w:rFonts w:ascii="Cambria" w:hAnsi="Cambria"/>
        </w:rPr>
        <w:t>Encuestas turísticas (FRONTUR, EGATUR).</w:t>
      </w:r>
    </w:p>
    <w:p w14:paraId="11C25B3D" w14:textId="77777777" w:rsidR="00111C6A" w:rsidRPr="006C21A6" w:rsidRDefault="00111C6A" w:rsidP="009E0620">
      <w:pPr>
        <w:numPr>
          <w:ilvl w:val="1"/>
          <w:numId w:val="1"/>
        </w:numPr>
        <w:jc w:val="both"/>
        <w:rPr>
          <w:rFonts w:ascii="Cambria" w:hAnsi="Cambria"/>
        </w:rPr>
      </w:pPr>
      <w:r w:rsidRPr="006C21A6">
        <w:rPr>
          <w:rFonts w:ascii="Cambria" w:hAnsi="Cambria"/>
        </w:rPr>
        <w:t>Encuesta de Comercio Internacional de Servicios (ECIS).</w:t>
      </w:r>
    </w:p>
    <w:p w14:paraId="6832F4CC" w14:textId="77777777" w:rsidR="00111C6A" w:rsidRPr="006C21A6" w:rsidRDefault="00111C6A" w:rsidP="009E0620">
      <w:pPr>
        <w:numPr>
          <w:ilvl w:val="1"/>
          <w:numId w:val="1"/>
        </w:numPr>
        <w:jc w:val="both"/>
        <w:rPr>
          <w:rFonts w:ascii="Cambria" w:hAnsi="Cambria"/>
        </w:rPr>
      </w:pPr>
      <w:r w:rsidRPr="006C21A6">
        <w:rPr>
          <w:rFonts w:ascii="Cambria" w:hAnsi="Cambria"/>
        </w:rPr>
        <w:t>Declaraciones directas, datos administrativos (Seguridad Social) y estados financieros de entidades de crédito.</w:t>
      </w:r>
    </w:p>
    <w:p w14:paraId="05E61473" w14:textId="77777777" w:rsidR="00111C6A" w:rsidRPr="006C21A6" w:rsidRDefault="00111C6A" w:rsidP="009E0620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6C21A6">
        <w:rPr>
          <w:rFonts w:ascii="Cambria" w:hAnsi="Cambria"/>
          <w:b/>
          <w:bCs/>
          <w:color w:val="auto"/>
          <w:sz w:val="28"/>
          <w:szCs w:val="28"/>
        </w:rPr>
        <w:t>2. Metodología y Presentación</w:t>
      </w:r>
    </w:p>
    <w:p w14:paraId="66AB2730" w14:textId="77777777" w:rsidR="00111C6A" w:rsidRPr="006C21A6" w:rsidRDefault="00111C6A" w:rsidP="009E0620">
      <w:pPr>
        <w:numPr>
          <w:ilvl w:val="0"/>
          <w:numId w:val="2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Normativa:</w:t>
      </w:r>
      <w:r w:rsidRPr="006C21A6">
        <w:rPr>
          <w:rFonts w:ascii="Cambria" w:hAnsi="Cambria"/>
        </w:rPr>
        <w:t xml:space="preserve"> Sigue el MBP6 del FMI (2009), armonizado con el Sistema de Cuentas Nacionales de la ONU y la OCDE.</w:t>
      </w:r>
    </w:p>
    <w:p w14:paraId="4F0B4B1B" w14:textId="77777777" w:rsidR="00111C6A" w:rsidRPr="006C21A6" w:rsidRDefault="00111C6A" w:rsidP="009E0620">
      <w:pPr>
        <w:numPr>
          <w:ilvl w:val="0"/>
          <w:numId w:val="2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lastRenderedPageBreak/>
        <w:t>Presentaciones:</w:t>
      </w:r>
      <w:r w:rsidRPr="006C21A6">
        <w:rPr>
          <w:rFonts w:ascii="Cambria" w:hAnsi="Cambria"/>
        </w:rPr>
        <w:t xml:space="preserve"> Puede ser detallada (112 apartados) o agregada (8 grandes apartados).</w:t>
      </w:r>
    </w:p>
    <w:p w14:paraId="7F4D2F82" w14:textId="77777777" w:rsidR="00111C6A" w:rsidRPr="006C21A6" w:rsidRDefault="00111C6A" w:rsidP="009E0620">
      <w:pPr>
        <w:numPr>
          <w:ilvl w:val="0"/>
          <w:numId w:val="2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Sistema:</w:t>
      </w:r>
      <w:r w:rsidRPr="006C21A6">
        <w:rPr>
          <w:rFonts w:ascii="Cambria" w:hAnsi="Cambria"/>
        </w:rPr>
        <w:t xml:space="preserve"> Se basa en un sistema cerrado con autocomprobación, pero en la práctica requiere la partida de "Errores y Omisiones" debido a los umbrales de exención y la diversidad de fuentes.</w:t>
      </w:r>
    </w:p>
    <w:p w14:paraId="4F249339" w14:textId="77777777" w:rsidR="00111C6A" w:rsidRPr="006C21A6" w:rsidRDefault="00111C6A" w:rsidP="009E0620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6C21A6">
        <w:rPr>
          <w:rFonts w:ascii="Cambria" w:hAnsi="Cambria"/>
          <w:b/>
          <w:bCs/>
          <w:color w:val="auto"/>
          <w:sz w:val="28"/>
          <w:szCs w:val="28"/>
        </w:rPr>
        <w:t>3. Estructura de la Balanza de Pagos</w:t>
      </w:r>
    </w:p>
    <w:p w14:paraId="4930DB6E" w14:textId="77777777" w:rsidR="00111C6A" w:rsidRPr="006C21A6" w:rsidRDefault="00111C6A" w:rsidP="009E0620">
      <w:pPr>
        <w:jc w:val="both"/>
        <w:rPr>
          <w:rFonts w:ascii="Cambria" w:hAnsi="Cambria"/>
        </w:rPr>
      </w:pPr>
      <w:r w:rsidRPr="006C21A6">
        <w:rPr>
          <w:rFonts w:ascii="Cambria" w:hAnsi="Cambria"/>
        </w:rPr>
        <w:t>Se organiza en torno a tres cuentas básicas: Corriente, de Capital y Financiera.</w:t>
      </w:r>
    </w:p>
    <w:p w14:paraId="725EF01D" w14:textId="77777777" w:rsidR="00111C6A" w:rsidRPr="006C21A6" w:rsidRDefault="00111C6A" w:rsidP="009E0620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6C21A6">
        <w:rPr>
          <w:rFonts w:ascii="Cambria" w:hAnsi="Cambria"/>
          <w:b/>
          <w:bCs/>
          <w:color w:val="auto"/>
          <w:sz w:val="24"/>
          <w:szCs w:val="24"/>
        </w:rPr>
        <w:t>3.1. Cuenta Corriente</w:t>
      </w:r>
    </w:p>
    <w:p w14:paraId="3F2E6A9E" w14:textId="77777777" w:rsidR="00111C6A" w:rsidRPr="006C21A6" w:rsidRDefault="00111C6A" w:rsidP="009E0620">
      <w:pPr>
        <w:jc w:val="both"/>
        <w:rPr>
          <w:rFonts w:ascii="Cambria" w:hAnsi="Cambria"/>
        </w:rPr>
      </w:pPr>
      <w:r w:rsidRPr="006C21A6">
        <w:rPr>
          <w:rFonts w:ascii="Cambria" w:hAnsi="Cambria"/>
        </w:rPr>
        <w:t>Registra transacciones corrientes. Se subdivide en cuatro balanzas básicas:</w:t>
      </w:r>
    </w:p>
    <w:p w14:paraId="72BD0065" w14:textId="7E645A83" w:rsidR="00111C6A" w:rsidRPr="006C21A6" w:rsidRDefault="00111C6A" w:rsidP="009E0620">
      <w:pPr>
        <w:numPr>
          <w:ilvl w:val="0"/>
          <w:numId w:val="3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Balanza Comercial:</w:t>
      </w:r>
      <w:r w:rsidRPr="006C21A6">
        <w:rPr>
          <w:rFonts w:ascii="Cambria" w:hAnsi="Cambria"/>
        </w:rPr>
        <w:t xml:space="preserve"> Tráfico de mercancías. </w:t>
      </w:r>
    </w:p>
    <w:p w14:paraId="57C50A17" w14:textId="77777777" w:rsidR="00111C6A" w:rsidRPr="006C21A6" w:rsidRDefault="00111C6A" w:rsidP="009E0620">
      <w:pPr>
        <w:numPr>
          <w:ilvl w:val="0"/>
          <w:numId w:val="3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Balanza de Servicios:</w:t>
      </w:r>
      <w:r w:rsidRPr="006C21A6">
        <w:rPr>
          <w:rFonts w:ascii="Cambria" w:hAnsi="Cambria"/>
        </w:rPr>
        <w:t xml:space="preserve"> Prestación de servicios entre residentes y no residentes.</w:t>
      </w:r>
    </w:p>
    <w:p w14:paraId="3D2107AC" w14:textId="77777777" w:rsidR="00111C6A" w:rsidRPr="006C21A6" w:rsidRDefault="00111C6A" w:rsidP="009E0620">
      <w:pPr>
        <w:numPr>
          <w:ilvl w:val="1"/>
          <w:numId w:val="3"/>
        </w:numPr>
        <w:jc w:val="both"/>
        <w:rPr>
          <w:rFonts w:ascii="Cambria" w:hAnsi="Cambria"/>
        </w:rPr>
      </w:pPr>
      <w:r w:rsidRPr="006C21A6">
        <w:rPr>
          <w:rFonts w:ascii="Cambria" w:hAnsi="Cambria"/>
        </w:rPr>
        <w:t>Turismo y viajes.</w:t>
      </w:r>
    </w:p>
    <w:p w14:paraId="373019DE" w14:textId="77777777" w:rsidR="00111C6A" w:rsidRPr="006C21A6" w:rsidRDefault="00111C6A" w:rsidP="009E0620">
      <w:pPr>
        <w:numPr>
          <w:ilvl w:val="1"/>
          <w:numId w:val="3"/>
        </w:numPr>
        <w:jc w:val="both"/>
        <w:rPr>
          <w:rFonts w:ascii="Cambria" w:hAnsi="Cambria"/>
        </w:rPr>
      </w:pPr>
      <w:r w:rsidRPr="006C21A6">
        <w:rPr>
          <w:rFonts w:ascii="Cambria" w:hAnsi="Cambria"/>
        </w:rPr>
        <w:t>Transportes (fletes y pasajeros).</w:t>
      </w:r>
    </w:p>
    <w:p w14:paraId="4B5D1EF5" w14:textId="77777777" w:rsidR="00111C6A" w:rsidRPr="006C21A6" w:rsidRDefault="00111C6A" w:rsidP="009E0620">
      <w:pPr>
        <w:numPr>
          <w:ilvl w:val="1"/>
          <w:numId w:val="3"/>
        </w:numPr>
        <w:jc w:val="both"/>
        <w:rPr>
          <w:rFonts w:ascii="Cambria" w:hAnsi="Cambria"/>
        </w:rPr>
      </w:pPr>
      <w:r w:rsidRPr="006C21A6">
        <w:rPr>
          <w:rFonts w:ascii="Cambria" w:hAnsi="Cambria"/>
        </w:rPr>
        <w:t>Otros servicios: Construcción, Seguros y pensiones (se valora el servicio, no la prima total), Financieros, Telecomunicaciones e Informática, Servicios empresariales (I+D, consultoría), Personales y culturales, Cargos por uso de propiedad intelectual.</w:t>
      </w:r>
    </w:p>
    <w:p w14:paraId="4E797784" w14:textId="77777777" w:rsidR="00111C6A" w:rsidRPr="006C21A6" w:rsidRDefault="00111C6A" w:rsidP="009E0620">
      <w:pPr>
        <w:numPr>
          <w:ilvl w:val="0"/>
          <w:numId w:val="3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Cuenta de Renta Primaria:</w:t>
      </w:r>
      <w:r w:rsidRPr="006C21A6">
        <w:rPr>
          <w:rFonts w:ascii="Cambria" w:hAnsi="Cambria"/>
        </w:rPr>
        <w:t xml:space="preserve"> Rentas por contribución al proceso productivo o suministro de activos.</w:t>
      </w:r>
    </w:p>
    <w:p w14:paraId="24EAECFB" w14:textId="77777777" w:rsidR="00111C6A" w:rsidRPr="006C21A6" w:rsidRDefault="00111C6A" w:rsidP="009E0620">
      <w:pPr>
        <w:numPr>
          <w:ilvl w:val="1"/>
          <w:numId w:val="3"/>
        </w:numPr>
        <w:jc w:val="both"/>
        <w:rPr>
          <w:rFonts w:ascii="Cambria" w:hAnsi="Cambria"/>
        </w:rPr>
      </w:pPr>
      <w:r w:rsidRPr="006C21A6">
        <w:rPr>
          <w:rFonts w:ascii="Cambria" w:hAnsi="Cambria"/>
        </w:rPr>
        <w:t>Remuneración de empleados.</w:t>
      </w:r>
    </w:p>
    <w:p w14:paraId="63920D7B" w14:textId="77777777" w:rsidR="00111C6A" w:rsidRPr="006C21A6" w:rsidRDefault="00111C6A" w:rsidP="009E0620">
      <w:pPr>
        <w:numPr>
          <w:ilvl w:val="1"/>
          <w:numId w:val="3"/>
        </w:numPr>
        <w:jc w:val="both"/>
        <w:rPr>
          <w:rFonts w:ascii="Cambria" w:hAnsi="Cambria"/>
        </w:rPr>
      </w:pPr>
      <w:r w:rsidRPr="006C21A6">
        <w:rPr>
          <w:rFonts w:ascii="Cambria" w:hAnsi="Cambria"/>
        </w:rPr>
        <w:t>Rentas de la inversión (dividendos, intereses, utilidades reinvertidas).</w:t>
      </w:r>
    </w:p>
    <w:p w14:paraId="751C1FA4" w14:textId="6AF1500B" w:rsidR="00111C6A" w:rsidRPr="006C21A6" w:rsidRDefault="00111C6A" w:rsidP="009E0620">
      <w:pPr>
        <w:numPr>
          <w:ilvl w:val="0"/>
          <w:numId w:val="3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Cuenta de Renta Secundaria:</w:t>
      </w:r>
      <w:r w:rsidRPr="006C21A6">
        <w:rPr>
          <w:rFonts w:ascii="Cambria" w:hAnsi="Cambria"/>
        </w:rPr>
        <w:t xml:space="preserve"> Transferencias corrientes que afectan a la renta disponible para el consumo.</w:t>
      </w:r>
    </w:p>
    <w:p w14:paraId="52F6CF5D" w14:textId="68A323E6" w:rsidR="00111C6A" w:rsidRPr="006C21A6" w:rsidRDefault="00111C6A" w:rsidP="009E0620">
      <w:pPr>
        <w:numPr>
          <w:ilvl w:val="1"/>
          <w:numId w:val="3"/>
        </w:numPr>
        <w:jc w:val="both"/>
        <w:rPr>
          <w:rFonts w:ascii="Cambria" w:hAnsi="Cambria"/>
        </w:rPr>
      </w:pPr>
      <w:r w:rsidRPr="006C21A6">
        <w:rPr>
          <w:rFonts w:ascii="Cambria" w:hAnsi="Cambria"/>
        </w:rPr>
        <w:t>Transferencias personales</w:t>
      </w:r>
      <w:r w:rsidR="009E0620" w:rsidRPr="006C21A6">
        <w:rPr>
          <w:rFonts w:ascii="Cambria" w:hAnsi="Cambria"/>
        </w:rPr>
        <w:t>.</w:t>
      </w:r>
    </w:p>
    <w:p w14:paraId="617DF521" w14:textId="77777777" w:rsidR="00111C6A" w:rsidRPr="006C21A6" w:rsidRDefault="00111C6A" w:rsidP="009E0620">
      <w:pPr>
        <w:numPr>
          <w:ilvl w:val="1"/>
          <w:numId w:val="3"/>
        </w:numPr>
        <w:jc w:val="both"/>
        <w:rPr>
          <w:rFonts w:ascii="Cambria" w:hAnsi="Cambria"/>
        </w:rPr>
      </w:pPr>
      <w:r w:rsidRPr="006C21A6">
        <w:rPr>
          <w:rFonts w:ascii="Cambria" w:hAnsi="Cambria"/>
        </w:rPr>
        <w:t>Transferencias de Administraciones Públicas (ej. Fondo Social Europeo, Recurso IVA).</w:t>
      </w:r>
    </w:p>
    <w:p w14:paraId="3831E4BB" w14:textId="77777777" w:rsidR="00111C6A" w:rsidRPr="006C21A6" w:rsidRDefault="00111C6A" w:rsidP="009E0620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6C21A6">
        <w:rPr>
          <w:rFonts w:ascii="Cambria" w:hAnsi="Cambria"/>
          <w:b/>
          <w:bCs/>
          <w:color w:val="auto"/>
          <w:sz w:val="24"/>
          <w:szCs w:val="24"/>
        </w:rPr>
        <w:t>3.2. Cuenta de Capital</w:t>
      </w:r>
    </w:p>
    <w:p w14:paraId="1910D674" w14:textId="77777777" w:rsidR="00111C6A" w:rsidRPr="006C21A6" w:rsidRDefault="00111C6A" w:rsidP="009E0620">
      <w:pPr>
        <w:numPr>
          <w:ilvl w:val="0"/>
          <w:numId w:val="4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Transferencias de capital:</w:t>
      </w:r>
      <w:r w:rsidRPr="006C21A6">
        <w:rPr>
          <w:rFonts w:ascii="Cambria" w:hAnsi="Cambria"/>
        </w:rPr>
        <w:t xml:space="preserve"> Aquellas que suponen traspaso de propiedad de activos fijos (ej. liquidación patrimonio emigrantes, fondos FEDER, fondos de cohesión).</w:t>
      </w:r>
    </w:p>
    <w:p w14:paraId="35FFCC6D" w14:textId="77777777" w:rsidR="00111C6A" w:rsidRPr="006C21A6" w:rsidRDefault="00111C6A" w:rsidP="009E0620">
      <w:pPr>
        <w:numPr>
          <w:ilvl w:val="0"/>
          <w:numId w:val="4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lastRenderedPageBreak/>
        <w:t>Adquisición/Disposición de activos no producidos no financieros:</w:t>
      </w:r>
      <w:r w:rsidRPr="006C21A6">
        <w:rPr>
          <w:rFonts w:ascii="Cambria" w:hAnsi="Cambria"/>
        </w:rPr>
        <w:t xml:space="preserve"> Compraventa de activos intangibles (patentes, derechos de autor) o tierras por enclaves (embajadas).</w:t>
      </w:r>
    </w:p>
    <w:p w14:paraId="3152327D" w14:textId="77777777" w:rsidR="00111C6A" w:rsidRPr="006C21A6" w:rsidRDefault="00111C6A" w:rsidP="009E0620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6C21A6">
        <w:rPr>
          <w:rFonts w:ascii="Cambria" w:hAnsi="Cambria"/>
          <w:b/>
          <w:bCs/>
          <w:color w:val="auto"/>
          <w:sz w:val="24"/>
          <w:szCs w:val="24"/>
        </w:rPr>
        <w:t>3.3. Cuenta Financiera</w:t>
      </w:r>
    </w:p>
    <w:p w14:paraId="3967A46D" w14:textId="77777777" w:rsidR="00111C6A" w:rsidRPr="006C21A6" w:rsidRDefault="00111C6A" w:rsidP="009E0620">
      <w:pPr>
        <w:jc w:val="both"/>
        <w:rPr>
          <w:rFonts w:ascii="Cambria" w:hAnsi="Cambria"/>
        </w:rPr>
      </w:pPr>
      <w:r w:rsidRPr="006C21A6">
        <w:rPr>
          <w:rFonts w:ascii="Cambria" w:hAnsi="Cambria"/>
        </w:rPr>
        <w:t>Recoge la variación neta de activos y pasivos. Se estructura separando las operaciones del Banco de España.</w:t>
      </w:r>
    </w:p>
    <w:p w14:paraId="581BBA38" w14:textId="1B82EF0B" w:rsidR="00111C6A" w:rsidRPr="006C21A6" w:rsidRDefault="00111C6A" w:rsidP="009E0620">
      <w:pPr>
        <w:numPr>
          <w:ilvl w:val="0"/>
          <w:numId w:val="5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Inversiones Directas:</w:t>
      </w:r>
      <w:r w:rsidRPr="006C21A6">
        <w:rPr>
          <w:rFonts w:ascii="Cambria" w:hAnsi="Cambria"/>
        </w:rPr>
        <w:t xml:space="preserve"> El inversor busca rentabilidad permanente e influencia en la dirección (participación </w:t>
      </w:r>
      <w:r w:rsidR="009E0620" w:rsidRPr="006C21A6">
        <w:rPr>
          <w:rFonts w:ascii="Cambria" w:hAnsi="Cambria"/>
        </w:rPr>
        <w:t>&gt; 10</w:t>
      </w:r>
      <w:r w:rsidRPr="006C21A6">
        <w:rPr>
          <w:rFonts w:ascii="Cambria" w:hAnsi="Cambria"/>
        </w:rPr>
        <w:t>%). Incluye acciones, financiación entre empresas relacionadas e inmuebles.</w:t>
      </w:r>
    </w:p>
    <w:p w14:paraId="3AC3E144" w14:textId="77777777" w:rsidR="00111C6A" w:rsidRPr="006C21A6" w:rsidRDefault="00111C6A" w:rsidP="009E0620">
      <w:pPr>
        <w:numPr>
          <w:ilvl w:val="0"/>
          <w:numId w:val="5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Inversiones de Cartera:</w:t>
      </w:r>
      <w:r w:rsidRPr="006C21A6">
        <w:rPr>
          <w:rFonts w:ascii="Cambria" w:hAnsi="Cambria"/>
        </w:rPr>
        <w:t xml:space="preserve"> Transacciones en valores negociables (acciones &lt;10%, fondos de inversión, bonos, obligaciones).</w:t>
      </w:r>
    </w:p>
    <w:p w14:paraId="07A5CF43" w14:textId="25E16C66" w:rsidR="00111C6A" w:rsidRPr="006C21A6" w:rsidRDefault="00111C6A" w:rsidP="009E0620">
      <w:pPr>
        <w:numPr>
          <w:ilvl w:val="0"/>
          <w:numId w:val="5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Otra Inversión:</w:t>
      </w:r>
      <w:r w:rsidRPr="006C21A6">
        <w:rPr>
          <w:rFonts w:ascii="Cambria" w:hAnsi="Cambria"/>
        </w:rPr>
        <w:t xml:space="preserve"> Operaciones de préstamo, depósito</w:t>
      </w:r>
      <w:r w:rsidR="009E0620" w:rsidRPr="006C21A6">
        <w:rPr>
          <w:rFonts w:ascii="Cambria" w:hAnsi="Cambria"/>
        </w:rPr>
        <w:t xml:space="preserve">… </w:t>
      </w:r>
      <w:r w:rsidRPr="006C21A6">
        <w:rPr>
          <w:rFonts w:ascii="Cambria" w:hAnsi="Cambria"/>
        </w:rPr>
        <w:t>no incluidas en otras rúbricas.</w:t>
      </w:r>
    </w:p>
    <w:p w14:paraId="7F0D03D8" w14:textId="77777777" w:rsidR="00111C6A" w:rsidRPr="006C21A6" w:rsidRDefault="00111C6A" w:rsidP="009E0620">
      <w:pPr>
        <w:numPr>
          <w:ilvl w:val="0"/>
          <w:numId w:val="5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Derivados Financieros:</w:t>
      </w:r>
      <w:r w:rsidRPr="006C21A6">
        <w:rPr>
          <w:rFonts w:ascii="Cambria" w:hAnsi="Cambria"/>
        </w:rPr>
        <w:t xml:space="preserve"> Opciones, futuros, warrants, compraventa de divisas a plazo.</w:t>
      </w:r>
    </w:p>
    <w:p w14:paraId="315972C0" w14:textId="77777777" w:rsidR="00111C6A" w:rsidRPr="006C21A6" w:rsidRDefault="00111C6A" w:rsidP="009E0620">
      <w:pPr>
        <w:numPr>
          <w:ilvl w:val="0"/>
          <w:numId w:val="5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Cuenta Financiera del Banco de España:</w:t>
      </w:r>
    </w:p>
    <w:p w14:paraId="4F93FE33" w14:textId="77777777" w:rsidR="00111C6A" w:rsidRPr="006C21A6" w:rsidRDefault="00111C6A" w:rsidP="009E0620">
      <w:pPr>
        <w:numPr>
          <w:ilvl w:val="1"/>
          <w:numId w:val="5"/>
        </w:numPr>
        <w:jc w:val="both"/>
        <w:rPr>
          <w:rFonts w:ascii="Cambria" w:hAnsi="Cambria"/>
        </w:rPr>
      </w:pPr>
      <w:r w:rsidRPr="006C21A6">
        <w:rPr>
          <w:rFonts w:ascii="Cambria" w:hAnsi="Cambria"/>
        </w:rPr>
        <w:t>Reservas (activos líquidos en moneda extranjera frente a no residentes UEM).</w:t>
      </w:r>
    </w:p>
    <w:p w14:paraId="7B8BCB2E" w14:textId="77777777" w:rsidR="00111C6A" w:rsidRPr="006C21A6" w:rsidRDefault="00111C6A" w:rsidP="009E0620">
      <w:pPr>
        <w:numPr>
          <w:ilvl w:val="1"/>
          <w:numId w:val="5"/>
        </w:numPr>
        <w:jc w:val="both"/>
        <w:rPr>
          <w:rFonts w:ascii="Cambria" w:hAnsi="Cambria"/>
        </w:rPr>
      </w:pPr>
      <w:r w:rsidRPr="006C21A6">
        <w:rPr>
          <w:rFonts w:ascii="Cambria" w:hAnsi="Cambria"/>
        </w:rPr>
        <w:t>Activos frente al Eurosistema.</w:t>
      </w:r>
    </w:p>
    <w:p w14:paraId="3CFEB00D" w14:textId="77777777" w:rsidR="00111C6A" w:rsidRPr="006C21A6" w:rsidRDefault="00111C6A" w:rsidP="009E0620">
      <w:pPr>
        <w:numPr>
          <w:ilvl w:val="1"/>
          <w:numId w:val="5"/>
        </w:numPr>
        <w:jc w:val="both"/>
        <w:rPr>
          <w:rFonts w:ascii="Cambria" w:hAnsi="Cambria"/>
        </w:rPr>
      </w:pPr>
      <w:r w:rsidRPr="006C21A6">
        <w:rPr>
          <w:rFonts w:ascii="Cambria" w:hAnsi="Cambria"/>
        </w:rPr>
        <w:t>Otros activos y pasivos exteriores.</w:t>
      </w:r>
    </w:p>
    <w:p w14:paraId="11B4C4CF" w14:textId="77777777" w:rsidR="00111C6A" w:rsidRPr="006C21A6" w:rsidRDefault="00111C6A" w:rsidP="009E0620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6C21A6">
        <w:rPr>
          <w:rFonts w:ascii="Cambria" w:hAnsi="Cambria"/>
          <w:b/>
          <w:bCs/>
          <w:color w:val="auto"/>
          <w:sz w:val="24"/>
          <w:szCs w:val="24"/>
        </w:rPr>
        <w:t>3.4. Errores y Omisiones</w:t>
      </w:r>
    </w:p>
    <w:p w14:paraId="5EEEE3C2" w14:textId="77777777" w:rsidR="00111C6A" w:rsidRPr="006C21A6" w:rsidRDefault="00111C6A" w:rsidP="009E0620">
      <w:pPr>
        <w:jc w:val="both"/>
        <w:rPr>
          <w:rFonts w:ascii="Cambria" w:hAnsi="Cambria"/>
        </w:rPr>
      </w:pPr>
      <w:r w:rsidRPr="006C21A6">
        <w:rPr>
          <w:rFonts w:ascii="Cambria" w:hAnsi="Cambria"/>
        </w:rPr>
        <w:t>Partida de ajuste (diferencia entre total de ingresos y pagos) debida a imperfecciones en las fuentes de información.</w:t>
      </w:r>
    </w:p>
    <w:p w14:paraId="0DA469EA" w14:textId="77777777" w:rsidR="00111C6A" w:rsidRPr="006C21A6" w:rsidRDefault="00111C6A" w:rsidP="009E0620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6C21A6">
        <w:rPr>
          <w:rFonts w:ascii="Cambria" w:hAnsi="Cambria"/>
          <w:b/>
          <w:bCs/>
          <w:color w:val="auto"/>
          <w:sz w:val="28"/>
          <w:szCs w:val="28"/>
        </w:rPr>
        <w:t>4. Equilibrio y Desequilibrio</w:t>
      </w:r>
    </w:p>
    <w:p w14:paraId="777FE0B7" w14:textId="77777777" w:rsidR="00111C6A" w:rsidRPr="006C21A6" w:rsidRDefault="00111C6A" w:rsidP="009E0620">
      <w:pPr>
        <w:jc w:val="both"/>
        <w:rPr>
          <w:rFonts w:ascii="Cambria" w:hAnsi="Cambria"/>
        </w:rPr>
      </w:pPr>
      <w:r w:rsidRPr="006C21A6">
        <w:rPr>
          <w:rFonts w:ascii="Cambria" w:hAnsi="Cambria"/>
        </w:rPr>
        <w:t xml:space="preserve">El equilibrio contable es automático. El análisis económico busca desequilibrios estudiando las </w:t>
      </w:r>
      <w:r w:rsidRPr="006C21A6">
        <w:rPr>
          <w:rFonts w:ascii="Cambria" w:hAnsi="Cambria"/>
          <w:b/>
          <w:bCs/>
        </w:rPr>
        <w:t>transacciones autónomas</w:t>
      </w:r>
      <w:r w:rsidRPr="006C21A6">
        <w:rPr>
          <w:rFonts w:ascii="Cambria" w:hAnsi="Cambria"/>
        </w:rPr>
        <w:t xml:space="preserve"> (motivos económicos) frente a las </w:t>
      </w:r>
      <w:r w:rsidRPr="006C21A6">
        <w:rPr>
          <w:rFonts w:ascii="Cambria" w:hAnsi="Cambria"/>
          <w:b/>
          <w:bCs/>
        </w:rPr>
        <w:t xml:space="preserve">transacciones </w:t>
      </w:r>
      <w:proofErr w:type="spellStart"/>
      <w:r w:rsidRPr="006C21A6">
        <w:rPr>
          <w:rFonts w:ascii="Cambria" w:hAnsi="Cambria"/>
          <w:b/>
          <w:bCs/>
        </w:rPr>
        <w:t>acomodantes</w:t>
      </w:r>
      <w:proofErr w:type="spellEnd"/>
      <w:r w:rsidRPr="006C21A6">
        <w:rPr>
          <w:rFonts w:ascii="Cambria" w:hAnsi="Cambria"/>
        </w:rPr>
        <w:t xml:space="preserve"> (compensadoras).</w:t>
      </w:r>
    </w:p>
    <w:p w14:paraId="7FDCBAD9" w14:textId="77777777" w:rsidR="00111C6A" w:rsidRPr="006C21A6" w:rsidRDefault="00111C6A" w:rsidP="009E0620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6C21A6">
        <w:rPr>
          <w:rFonts w:ascii="Cambria" w:hAnsi="Cambria"/>
          <w:b/>
          <w:bCs/>
          <w:color w:val="auto"/>
          <w:sz w:val="24"/>
          <w:szCs w:val="24"/>
        </w:rPr>
        <w:t>4.1. Principales Saldos Analíticos</w:t>
      </w:r>
    </w:p>
    <w:p w14:paraId="51F9061A" w14:textId="77777777" w:rsidR="00111C6A" w:rsidRPr="006C21A6" w:rsidRDefault="00111C6A" w:rsidP="009E0620">
      <w:pPr>
        <w:numPr>
          <w:ilvl w:val="0"/>
          <w:numId w:val="6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Saldo de la Cuenta Corriente:</w:t>
      </w:r>
      <w:r w:rsidRPr="006C21A6">
        <w:rPr>
          <w:rFonts w:ascii="Cambria" w:hAnsi="Cambria"/>
        </w:rPr>
        <w:t xml:space="preserve"> Suma de balanzas comercial, servicios, renta primaria y secundaria.</w:t>
      </w:r>
    </w:p>
    <w:p w14:paraId="596BE33E" w14:textId="4E32F56E" w:rsidR="00111C6A" w:rsidRPr="006C21A6" w:rsidRDefault="00111C6A" w:rsidP="009E0620">
      <w:pPr>
        <w:numPr>
          <w:ilvl w:val="1"/>
          <w:numId w:val="6"/>
        </w:numPr>
        <w:jc w:val="both"/>
        <w:rPr>
          <w:rFonts w:ascii="Cambria" w:hAnsi="Cambria"/>
        </w:rPr>
      </w:pPr>
      <w:r w:rsidRPr="006C21A6">
        <w:rPr>
          <w:rFonts w:ascii="Cambria" w:hAnsi="Cambria"/>
        </w:rPr>
        <w:t>Indica la relación Ahorro-Inversión (CC = ANB - FBC).</w:t>
      </w:r>
    </w:p>
    <w:p w14:paraId="1AF9AC86" w14:textId="77777777" w:rsidR="00111C6A" w:rsidRPr="006C21A6" w:rsidRDefault="00111C6A" w:rsidP="009E0620">
      <w:pPr>
        <w:numPr>
          <w:ilvl w:val="1"/>
          <w:numId w:val="6"/>
        </w:numPr>
        <w:jc w:val="both"/>
        <w:rPr>
          <w:rFonts w:ascii="Cambria" w:hAnsi="Cambria"/>
        </w:rPr>
      </w:pPr>
      <w:r w:rsidRPr="006C21A6">
        <w:rPr>
          <w:rFonts w:ascii="Cambria" w:hAnsi="Cambria"/>
          <w:i/>
          <w:iCs/>
        </w:rPr>
        <w:t>Superávit:</w:t>
      </w:r>
      <w:r w:rsidRPr="006C21A6">
        <w:rPr>
          <w:rFonts w:ascii="Cambria" w:hAnsi="Cambria"/>
        </w:rPr>
        <w:t xml:space="preserve"> El Ahorro Nacional supera a la Inversión; el exceso se invierte fuera.</w:t>
      </w:r>
    </w:p>
    <w:p w14:paraId="775C52D7" w14:textId="77777777" w:rsidR="00111C6A" w:rsidRPr="006C21A6" w:rsidRDefault="00111C6A" w:rsidP="009E0620">
      <w:pPr>
        <w:numPr>
          <w:ilvl w:val="1"/>
          <w:numId w:val="6"/>
        </w:numPr>
        <w:jc w:val="both"/>
        <w:rPr>
          <w:rFonts w:ascii="Cambria" w:hAnsi="Cambria"/>
        </w:rPr>
      </w:pPr>
      <w:r w:rsidRPr="006C21A6">
        <w:rPr>
          <w:rFonts w:ascii="Cambria" w:hAnsi="Cambria"/>
          <w:i/>
          <w:iCs/>
        </w:rPr>
        <w:lastRenderedPageBreak/>
        <w:t>Déficit:</w:t>
      </w:r>
      <w:r w:rsidRPr="006C21A6">
        <w:rPr>
          <w:rFonts w:ascii="Cambria" w:hAnsi="Cambria"/>
        </w:rPr>
        <w:t xml:space="preserve"> El Ahorro es insuficiente para financiar la Inversión; requiere financiación exterior (no necesariamente negativo si financia desarrollo).</w:t>
      </w:r>
    </w:p>
    <w:p w14:paraId="2BE2EADB" w14:textId="77777777" w:rsidR="00111C6A" w:rsidRPr="006C21A6" w:rsidRDefault="00111C6A" w:rsidP="009E0620">
      <w:pPr>
        <w:numPr>
          <w:ilvl w:val="0"/>
          <w:numId w:val="6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Capacidad (+) o Necesidad (-) de Financiación:</w:t>
      </w:r>
      <w:r w:rsidRPr="006C21A6">
        <w:rPr>
          <w:rFonts w:ascii="Cambria" w:hAnsi="Cambria"/>
        </w:rPr>
        <w:t xml:space="preserve"> Suma de Cuenta Corriente + Cuenta de Capital.</w:t>
      </w:r>
    </w:p>
    <w:p w14:paraId="3B58AB00" w14:textId="77777777" w:rsidR="00111C6A" w:rsidRPr="006C21A6" w:rsidRDefault="00111C6A" w:rsidP="009E0620">
      <w:pPr>
        <w:numPr>
          <w:ilvl w:val="1"/>
          <w:numId w:val="6"/>
        </w:numPr>
        <w:jc w:val="both"/>
        <w:rPr>
          <w:rFonts w:ascii="Cambria" w:hAnsi="Cambria"/>
        </w:rPr>
      </w:pPr>
      <w:r w:rsidRPr="006C21A6">
        <w:rPr>
          <w:rFonts w:ascii="Cambria" w:hAnsi="Cambria"/>
        </w:rPr>
        <w:t>Mide el préstamo neto que la economía hace al resto del mundo (+) o recibe del resto del mundo (-).</w:t>
      </w:r>
    </w:p>
    <w:p w14:paraId="53A4F7DD" w14:textId="77777777" w:rsidR="00111C6A" w:rsidRPr="006C21A6" w:rsidRDefault="00111C6A" w:rsidP="009E0620">
      <w:pPr>
        <w:numPr>
          <w:ilvl w:val="1"/>
          <w:numId w:val="6"/>
        </w:numPr>
        <w:jc w:val="both"/>
        <w:rPr>
          <w:rFonts w:ascii="Cambria" w:hAnsi="Cambria"/>
        </w:rPr>
      </w:pPr>
      <w:r w:rsidRPr="006C21A6">
        <w:rPr>
          <w:rFonts w:ascii="Cambria" w:hAnsi="Cambria"/>
        </w:rPr>
        <w:t>Su contrapartida es el saldo de la Cuenta Financiera más Errores y Omisiones.</w:t>
      </w:r>
    </w:p>
    <w:p w14:paraId="7AC5C375" w14:textId="77777777" w:rsidR="00111C6A" w:rsidRPr="006C21A6" w:rsidRDefault="00111C6A" w:rsidP="009E0620">
      <w:pPr>
        <w:numPr>
          <w:ilvl w:val="0"/>
          <w:numId w:val="6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Saldo de Liquidaciones Oficiales:</w:t>
      </w:r>
      <w:r w:rsidRPr="006C21A6">
        <w:rPr>
          <w:rFonts w:ascii="Cambria" w:hAnsi="Cambria"/>
        </w:rPr>
        <w:t xml:space="preserve"> Coincide con la variación de reservas. Indica la situación de liquidez y la posición para defender la moneda.</w:t>
      </w:r>
    </w:p>
    <w:p w14:paraId="0FE8481B" w14:textId="77777777" w:rsidR="00111C6A" w:rsidRPr="006C21A6" w:rsidRDefault="00111C6A" w:rsidP="009E0620">
      <w:pPr>
        <w:numPr>
          <w:ilvl w:val="0"/>
          <w:numId w:val="6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Balanza Básica:</w:t>
      </w:r>
      <w:r w:rsidRPr="006C21A6">
        <w:rPr>
          <w:rFonts w:ascii="Cambria" w:hAnsi="Cambria"/>
        </w:rPr>
        <w:t xml:space="preserve"> Cuenta Corriente + Capital a largo plazo. Considera que un déficit corriente es menos grave si se financia con capitales estables a largo plazo.</w:t>
      </w:r>
    </w:p>
    <w:p w14:paraId="5849BC6E" w14:textId="6003304C" w:rsidR="009E0620" w:rsidRPr="006C21A6" w:rsidRDefault="009E0620" w:rsidP="009E0620">
      <w:pPr>
        <w:numPr>
          <w:ilvl w:val="0"/>
          <w:numId w:val="6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Balanza de Desarrollo:</w:t>
      </w:r>
      <w:r w:rsidRPr="006C21A6">
        <w:rPr>
          <w:rFonts w:ascii="Cambria" w:hAnsi="Cambria"/>
        </w:rPr>
        <w:t xml:space="preserve"> transacciones por Cuenta Corriente y las inversiones directas extranjeras en el país. </w:t>
      </w:r>
    </w:p>
    <w:p w14:paraId="5D22FD29" w14:textId="680C4158" w:rsidR="00111C6A" w:rsidRPr="006C21A6" w:rsidRDefault="00111C6A" w:rsidP="009E0620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6C21A6">
        <w:rPr>
          <w:rFonts w:ascii="Cambria" w:hAnsi="Cambria"/>
          <w:b/>
          <w:bCs/>
          <w:color w:val="auto"/>
          <w:sz w:val="28"/>
          <w:szCs w:val="28"/>
        </w:rPr>
        <w:t>5. Situación de la Balanza de Pagos Española</w:t>
      </w:r>
    </w:p>
    <w:p w14:paraId="2257076E" w14:textId="6618C886" w:rsidR="00111C6A" w:rsidRPr="006C21A6" w:rsidRDefault="00111C6A" w:rsidP="009E0620">
      <w:pPr>
        <w:numPr>
          <w:ilvl w:val="0"/>
          <w:numId w:val="7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Capacidad de Financiación:</w:t>
      </w:r>
      <w:r w:rsidRPr="006C21A6">
        <w:rPr>
          <w:rFonts w:ascii="Cambria" w:hAnsi="Cambria"/>
        </w:rPr>
        <w:t xml:space="preserve"> España mantiene capacidad de financiación frente al exterior desde 2013. En 202</w:t>
      </w:r>
      <w:r w:rsidR="009E0620" w:rsidRPr="006C21A6">
        <w:rPr>
          <w:rFonts w:ascii="Cambria" w:hAnsi="Cambria"/>
        </w:rPr>
        <w:t>3</w:t>
      </w:r>
      <w:r w:rsidRPr="006C21A6">
        <w:rPr>
          <w:rFonts w:ascii="Cambria" w:hAnsi="Cambria"/>
        </w:rPr>
        <w:t xml:space="preserve"> alcanzó los +</w:t>
      </w:r>
      <w:r w:rsidR="001063F0" w:rsidRPr="006C21A6">
        <w:rPr>
          <w:rFonts w:ascii="Cambria" w:hAnsi="Cambria"/>
        </w:rPr>
        <w:t>53.000</w:t>
      </w:r>
      <w:r w:rsidRPr="006C21A6">
        <w:rPr>
          <w:rFonts w:ascii="Cambria" w:hAnsi="Cambria"/>
        </w:rPr>
        <w:t>M€.</w:t>
      </w:r>
    </w:p>
    <w:p w14:paraId="7FC4D243" w14:textId="0A0635C6" w:rsidR="00111C6A" w:rsidRPr="006C21A6" w:rsidRDefault="00111C6A" w:rsidP="009E0620">
      <w:pPr>
        <w:numPr>
          <w:ilvl w:val="0"/>
          <w:numId w:val="7"/>
        </w:numPr>
        <w:jc w:val="both"/>
        <w:rPr>
          <w:rFonts w:ascii="Cambria" w:hAnsi="Cambria"/>
        </w:rPr>
      </w:pPr>
      <w:r w:rsidRPr="006C21A6">
        <w:rPr>
          <w:rFonts w:ascii="Cambria" w:hAnsi="Cambria"/>
          <w:b/>
          <w:bCs/>
        </w:rPr>
        <w:t>Desglose por cuentas (202</w:t>
      </w:r>
      <w:r w:rsidR="001063F0" w:rsidRPr="006C21A6">
        <w:rPr>
          <w:rFonts w:ascii="Cambria" w:hAnsi="Cambria"/>
          <w:b/>
          <w:bCs/>
        </w:rPr>
        <w:t>3</w:t>
      </w:r>
      <w:r w:rsidRPr="006C21A6">
        <w:rPr>
          <w:rFonts w:ascii="Cambria" w:hAnsi="Cambria"/>
          <w:b/>
          <w:bCs/>
        </w:rPr>
        <w:t>):</w:t>
      </w:r>
    </w:p>
    <w:p w14:paraId="3CC3433C" w14:textId="62DE91A4" w:rsidR="00111C6A" w:rsidRPr="006C21A6" w:rsidRDefault="00111C6A" w:rsidP="009E0620">
      <w:pPr>
        <w:numPr>
          <w:ilvl w:val="1"/>
          <w:numId w:val="7"/>
        </w:numPr>
        <w:jc w:val="both"/>
        <w:rPr>
          <w:rFonts w:ascii="Cambria" w:hAnsi="Cambria"/>
        </w:rPr>
      </w:pPr>
      <w:r w:rsidRPr="006C21A6">
        <w:rPr>
          <w:rFonts w:ascii="Cambria" w:hAnsi="Cambria"/>
          <w:i/>
          <w:iCs/>
        </w:rPr>
        <w:t>Cuenta Corriente:</w:t>
      </w:r>
      <w:r w:rsidRPr="006C21A6">
        <w:rPr>
          <w:rFonts w:ascii="Cambria" w:hAnsi="Cambria"/>
        </w:rPr>
        <w:t xml:space="preserve"> Superávit de +</w:t>
      </w:r>
      <w:r w:rsidR="001063F0" w:rsidRPr="006C21A6">
        <w:rPr>
          <w:rFonts w:ascii="Cambria" w:hAnsi="Cambria"/>
        </w:rPr>
        <w:t>38.000</w:t>
      </w:r>
      <w:r w:rsidRPr="006C21A6">
        <w:rPr>
          <w:rFonts w:ascii="Cambria" w:hAnsi="Cambria"/>
        </w:rPr>
        <w:t>M€.</w:t>
      </w:r>
    </w:p>
    <w:p w14:paraId="29F7280B" w14:textId="5CBE5CF9" w:rsidR="00111C6A" w:rsidRPr="006C21A6" w:rsidRDefault="00111C6A" w:rsidP="009E0620">
      <w:pPr>
        <w:numPr>
          <w:ilvl w:val="2"/>
          <w:numId w:val="7"/>
        </w:numPr>
        <w:jc w:val="both"/>
        <w:rPr>
          <w:rFonts w:ascii="Cambria" w:hAnsi="Cambria"/>
        </w:rPr>
      </w:pPr>
      <w:r w:rsidRPr="006C21A6">
        <w:rPr>
          <w:rFonts w:ascii="Cambria" w:hAnsi="Cambria"/>
        </w:rPr>
        <w:t>El déficit de la Balanza Comercial aumentó (-</w:t>
      </w:r>
      <w:r w:rsidR="001063F0" w:rsidRPr="006C21A6">
        <w:rPr>
          <w:rFonts w:ascii="Cambria" w:hAnsi="Cambria"/>
        </w:rPr>
        <w:t>32.700</w:t>
      </w:r>
      <w:r w:rsidRPr="006C21A6">
        <w:rPr>
          <w:rFonts w:ascii="Cambria" w:hAnsi="Cambria"/>
        </w:rPr>
        <w:t>M€).</w:t>
      </w:r>
    </w:p>
    <w:p w14:paraId="09C80045" w14:textId="2370FEF6" w:rsidR="00111C6A" w:rsidRPr="006C21A6" w:rsidRDefault="00111C6A" w:rsidP="009E0620">
      <w:pPr>
        <w:numPr>
          <w:ilvl w:val="2"/>
          <w:numId w:val="7"/>
        </w:numPr>
        <w:jc w:val="both"/>
        <w:rPr>
          <w:rFonts w:ascii="Cambria" w:hAnsi="Cambria"/>
        </w:rPr>
      </w:pPr>
      <w:r w:rsidRPr="006C21A6">
        <w:rPr>
          <w:rFonts w:ascii="Cambria" w:hAnsi="Cambria"/>
        </w:rPr>
        <w:t>El superávit de la Balanza de Servicios fue muy destacado (+</w:t>
      </w:r>
      <w:r w:rsidR="001063F0" w:rsidRPr="006C21A6">
        <w:rPr>
          <w:rFonts w:ascii="Cambria" w:hAnsi="Cambria"/>
        </w:rPr>
        <w:t>93.000</w:t>
      </w:r>
      <w:r w:rsidRPr="006C21A6">
        <w:rPr>
          <w:rFonts w:ascii="Cambria" w:hAnsi="Cambria"/>
        </w:rPr>
        <w:t>M€</w:t>
      </w:r>
      <w:r w:rsidR="001063F0" w:rsidRPr="006C21A6">
        <w:rPr>
          <w:rFonts w:ascii="Cambria" w:hAnsi="Cambria"/>
        </w:rPr>
        <w:t>)</w:t>
      </w:r>
      <w:r w:rsidRPr="006C21A6">
        <w:rPr>
          <w:rFonts w:ascii="Cambria" w:hAnsi="Cambria"/>
        </w:rPr>
        <w:t>.</w:t>
      </w:r>
    </w:p>
    <w:p w14:paraId="58BF1B7A" w14:textId="620A1489" w:rsidR="00111C6A" w:rsidRPr="006C21A6" w:rsidRDefault="00111C6A" w:rsidP="009E0620">
      <w:pPr>
        <w:numPr>
          <w:ilvl w:val="2"/>
          <w:numId w:val="7"/>
        </w:numPr>
        <w:jc w:val="both"/>
        <w:rPr>
          <w:rFonts w:ascii="Cambria" w:hAnsi="Cambria"/>
        </w:rPr>
      </w:pPr>
      <w:r w:rsidRPr="006C21A6">
        <w:rPr>
          <w:rFonts w:ascii="Cambria" w:hAnsi="Cambria"/>
        </w:rPr>
        <w:t>Superávit en Renta Primaria (</w:t>
      </w:r>
      <w:r w:rsidR="001063F0" w:rsidRPr="006C21A6">
        <w:rPr>
          <w:rFonts w:ascii="Cambria" w:hAnsi="Cambria"/>
        </w:rPr>
        <w:t>-9.225</w:t>
      </w:r>
      <w:r w:rsidRPr="006C21A6">
        <w:rPr>
          <w:rFonts w:ascii="Cambria" w:hAnsi="Cambria"/>
        </w:rPr>
        <w:t>M€).</w:t>
      </w:r>
    </w:p>
    <w:p w14:paraId="368DEAF1" w14:textId="565DCB5B" w:rsidR="00111C6A" w:rsidRPr="006C21A6" w:rsidRDefault="00111C6A" w:rsidP="009E0620">
      <w:pPr>
        <w:numPr>
          <w:ilvl w:val="2"/>
          <w:numId w:val="7"/>
        </w:numPr>
        <w:jc w:val="both"/>
        <w:rPr>
          <w:rFonts w:ascii="Cambria" w:hAnsi="Cambria"/>
        </w:rPr>
      </w:pPr>
      <w:r w:rsidRPr="006C21A6">
        <w:rPr>
          <w:rFonts w:ascii="Cambria" w:hAnsi="Cambria"/>
        </w:rPr>
        <w:t>Déficit en Renta Secundaria (-1</w:t>
      </w:r>
      <w:r w:rsidR="001063F0" w:rsidRPr="006C21A6">
        <w:rPr>
          <w:rFonts w:ascii="Cambria" w:hAnsi="Cambria"/>
        </w:rPr>
        <w:t>3.000</w:t>
      </w:r>
      <w:r w:rsidRPr="006C21A6">
        <w:rPr>
          <w:rFonts w:ascii="Cambria" w:hAnsi="Cambria"/>
        </w:rPr>
        <w:t>M€).</w:t>
      </w:r>
    </w:p>
    <w:p w14:paraId="7D7AEE4C" w14:textId="04CA4550" w:rsidR="00111C6A" w:rsidRPr="006C21A6" w:rsidRDefault="00111C6A" w:rsidP="009E0620">
      <w:pPr>
        <w:numPr>
          <w:ilvl w:val="1"/>
          <w:numId w:val="7"/>
        </w:numPr>
        <w:jc w:val="both"/>
        <w:rPr>
          <w:rFonts w:ascii="Cambria" w:hAnsi="Cambria"/>
        </w:rPr>
      </w:pPr>
      <w:r w:rsidRPr="006C21A6">
        <w:rPr>
          <w:rFonts w:ascii="Cambria" w:hAnsi="Cambria"/>
          <w:i/>
          <w:iCs/>
        </w:rPr>
        <w:t>Cuenta de Capital:</w:t>
      </w:r>
      <w:r w:rsidRPr="006C21A6">
        <w:rPr>
          <w:rFonts w:ascii="Cambria" w:hAnsi="Cambria"/>
        </w:rPr>
        <w:t xml:space="preserve"> Saldo de aprox. </w:t>
      </w:r>
      <w:r w:rsidR="001063F0" w:rsidRPr="006C21A6">
        <w:rPr>
          <w:rFonts w:ascii="Cambria" w:hAnsi="Cambria"/>
        </w:rPr>
        <w:t>+</w:t>
      </w:r>
      <w:r w:rsidRPr="006C21A6">
        <w:rPr>
          <w:rFonts w:ascii="Cambria" w:hAnsi="Cambria"/>
        </w:rPr>
        <w:t>1</w:t>
      </w:r>
      <w:r w:rsidR="001063F0" w:rsidRPr="006C21A6">
        <w:rPr>
          <w:rFonts w:ascii="Cambria" w:hAnsi="Cambria"/>
        </w:rPr>
        <w:t>5.900</w:t>
      </w:r>
      <w:r w:rsidRPr="006C21A6">
        <w:rPr>
          <w:rFonts w:ascii="Cambria" w:hAnsi="Cambria"/>
        </w:rPr>
        <w:t>M€.</w:t>
      </w:r>
    </w:p>
    <w:p w14:paraId="7014D623" w14:textId="7DA54FC2" w:rsidR="00111C6A" w:rsidRPr="006C21A6" w:rsidRDefault="00111C6A" w:rsidP="009E0620">
      <w:pPr>
        <w:numPr>
          <w:ilvl w:val="1"/>
          <w:numId w:val="7"/>
        </w:numPr>
        <w:jc w:val="both"/>
        <w:rPr>
          <w:rFonts w:ascii="Cambria" w:hAnsi="Cambria"/>
        </w:rPr>
      </w:pPr>
      <w:r w:rsidRPr="006C21A6">
        <w:rPr>
          <w:rFonts w:ascii="Cambria" w:hAnsi="Cambria"/>
          <w:i/>
          <w:iCs/>
        </w:rPr>
        <w:t>Cuenta Financiera</w:t>
      </w:r>
      <w:r w:rsidRPr="006C21A6">
        <w:rPr>
          <w:rFonts w:ascii="Cambria" w:hAnsi="Cambria"/>
        </w:rPr>
        <w:t xml:space="preserve"> Saldo de aprox. </w:t>
      </w:r>
      <w:r w:rsidR="001063F0" w:rsidRPr="006C21A6">
        <w:rPr>
          <w:rFonts w:ascii="Cambria" w:hAnsi="Cambria"/>
        </w:rPr>
        <w:t>+115.000</w:t>
      </w:r>
      <w:r w:rsidRPr="006C21A6">
        <w:rPr>
          <w:rFonts w:ascii="Cambria" w:hAnsi="Cambria"/>
        </w:rPr>
        <w:t>M€.</w:t>
      </w:r>
    </w:p>
    <w:p w14:paraId="2F4622C7" w14:textId="77777777" w:rsidR="00A65383" w:rsidRPr="006C21A6" w:rsidRDefault="00A65383" w:rsidP="009E0620">
      <w:pPr>
        <w:jc w:val="both"/>
        <w:rPr>
          <w:rFonts w:ascii="Cambria" w:hAnsi="Cambria"/>
        </w:rPr>
      </w:pPr>
    </w:p>
    <w:sectPr w:rsidR="00A65383" w:rsidRPr="006C21A6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41F33" w14:textId="77777777" w:rsidR="00111C6A" w:rsidRDefault="00111C6A" w:rsidP="00111C6A">
      <w:pPr>
        <w:spacing w:after="0" w:line="240" w:lineRule="auto"/>
      </w:pPr>
      <w:r>
        <w:separator/>
      </w:r>
    </w:p>
  </w:endnote>
  <w:endnote w:type="continuationSeparator" w:id="0">
    <w:p w14:paraId="4D046CDA" w14:textId="77777777" w:rsidR="00111C6A" w:rsidRDefault="00111C6A" w:rsidP="00111C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AD250F" w14:textId="77777777" w:rsidR="00111C6A" w:rsidRDefault="00111C6A" w:rsidP="00111C6A">
      <w:pPr>
        <w:spacing w:after="0" w:line="240" w:lineRule="auto"/>
      </w:pPr>
      <w:r>
        <w:separator/>
      </w:r>
    </w:p>
  </w:footnote>
  <w:footnote w:type="continuationSeparator" w:id="0">
    <w:p w14:paraId="6C0D0B19" w14:textId="77777777" w:rsidR="00111C6A" w:rsidRDefault="00111C6A" w:rsidP="00111C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5F2E5" w14:textId="5ABA4F22" w:rsidR="00111C6A" w:rsidRPr="00111C6A" w:rsidRDefault="00111C6A" w:rsidP="00111C6A">
    <w:pPr>
      <w:pStyle w:val="Encabezado"/>
      <w:jc w:val="both"/>
      <w:rPr>
        <w:rFonts w:ascii="Palatino Linotype" w:hAnsi="Palatino Linotype"/>
        <w:i/>
        <w:iCs/>
      </w:rPr>
    </w:pPr>
    <w:r w:rsidRPr="00111C6A">
      <w:rPr>
        <w:rFonts w:ascii="Palatino Linotype" w:hAnsi="Palatino Linotype"/>
        <w:b/>
        <w:bCs/>
        <w:i/>
        <w:iCs/>
      </w:rPr>
      <w:t>TEMA 2 -</w:t>
    </w:r>
    <w:r w:rsidRPr="00111C6A">
      <w:rPr>
        <w:rFonts w:ascii="Palatino Linotype" w:hAnsi="Palatino Linotype"/>
        <w:i/>
        <w:iCs/>
      </w:rPr>
      <w:t xml:space="preserve"> Balanza de Pagos. Concepto. Presentaciones, metodología y estructura. Equilibrio y desequilibrio de la Balanza.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C1814"/>
    <w:multiLevelType w:val="multilevel"/>
    <w:tmpl w:val="D794E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440ADC"/>
    <w:multiLevelType w:val="multilevel"/>
    <w:tmpl w:val="9D50A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A57421"/>
    <w:multiLevelType w:val="multilevel"/>
    <w:tmpl w:val="D17AE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1D1D3D"/>
    <w:multiLevelType w:val="multilevel"/>
    <w:tmpl w:val="CC847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3547BF"/>
    <w:multiLevelType w:val="multilevel"/>
    <w:tmpl w:val="420E7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897B9D"/>
    <w:multiLevelType w:val="multilevel"/>
    <w:tmpl w:val="EDCE7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FF046C"/>
    <w:multiLevelType w:val="multilevel"/>
    <w:tmpl w:val="965A8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5294515">
    <w:abstractNumId w:val="6"/>
  </w:num>
  <w:num w:numId="2" w16cid:durableId="1261838448">
    <w:abstractNumId w:val="0"/>
  </w:num>
  <w:num w:numId="3" w16cid:durableId="158160635">
    <w:abstractNumId w:val="2"/>
  </w:num>
  <w:num w:numId="4" w16cid:durableId="1126000971">
    <w:abstractNumId w:val="1"/>
  </w:num>
  <w:num w:numId="5" w16cid:durableId="1648365482">
    <w:abstractNumId w:val="4"/>
  </w:num>
  <w:num w:numId="6" w16cid:durableId="1710761610">
    <w:abstractNumId w:val="3"/>
  </w:num>
  <w:num w:numId="7" w16cid:durableId="1917228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C6A"/>
    <w:rsid w:val="001063F0"/>
    <w:rsid w:val="00111C6A"/>
    <w:rsid w:val="0053525B"/>
    <w:rsid w:val="005803BC"/>
    <w:rsid w:val="00622004"/>
    <w:rsid w:val="006C21A6"/>
    <w:rsid w:val="009E0620"/>
    <w:rsid w:val="00A65383"/>
    <w:rsid w:val="00A8675C"/>
    <w:rsid w:val="00AC443D"/>
    <w:rsid w:val="00C12CFD"/>
    <w:rsid w:val="00C41287"/>
    <w:rsid w:val="00EE2210"/>
    <w:rsid w:val="00FE5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AB92AC"/>
  <w15:chartTrackingRefBased/>
  <w15:docId w15:val="{58FB3582-09CA-4546-AB84-224CA011C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11C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11C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11C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11C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11C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11C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11C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11C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11C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111C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11C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11C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11C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11C6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11C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11C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11C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11C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11C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11C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11C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11C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11C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11C6A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111C6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11C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11C6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11C6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11C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11C6A"/>
  </w:style>
  <w:style w:type="paragraph" w:styleId="Piedepgina">
    <w:name w:val="footer"/>
    <w:basedOn w:val="Normal"/>
    <w:link w:val="PiedepginaCar"/>
    <w:uiPriority w:val="99"/>
    <w:unhideWhenUsed/>
    <w:rsid w:val="00111C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11C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4</Pages>
  <Words>938</Words>
  <Characters>5165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6</cp:revision>
  <dcterms:created xsi:type="dcterms:W3CDTF">2025-11-21T10:14:00Z</dcterms:created>
  <dcterms:modified xsi:type="dcterms:W3CDTF">2026-01-14T14:08:00Z</dcterms:modified>
</cp:coreProperties>
</file>