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69279" w14:textId="77777777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0A4E0281" w14:textId="77777777" w:rsidR="00675C01" w:rsidRPr="002D4C10" w:rsidRDefault="00675C01" w:rsidP="002D4C10">
      <w:pPr>
        <w:numPr>
          <w:ilvl w:val="0"/>
          <w:numId w:val="1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Contexto de internacionalización:</w:t>
      </w:r>
    </w:p>
    <w:p w14:paraId="6DC2BA78" w14:textId="77777777" w:rsidR="00675C01" w:rsidRPr="002D4C10" w:rsidRDefault="00675C01" w:rsidP="002D4C10">
      <w:pPr>
        <w:numPr>
          <w:ilvl w:val="1"/>
          <w:numId w:val="1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Aumento de flujos de capitales y expansión de multinacionales.</w:t>
      </w:r>
    </w:p>
    <w:p w14:paraId="627882DB" w14:textId="77777777" w:rsidR="00675C01" w:rsidRPr="002D4C10" w:rsidRDefault="00675C01" w:rsidP="002D4C10">
      <w:pPr>
        <w:numPr>
          <w:ilvl w:val="1"/>
          <w:numId w:val="1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La inversión extranjera complementa el ahorro nacional, aumenta la competencia, transfiere tecnología (</w:t>
      </w:r>
      <w:r w:rsidRPr="002D4C10">
        <w:rPr>
          <w:rFonts w:ascii="Cambria" w:hAnsi="Cambria"/>
          <w:i/>
          <w:iCs/>
        </w:rPr>
        <w:t>know-how</w:t>
      </w:r>
      <w:r w:rsidRPr="002D4C10">
        <w:rPr>
          <w:rFonts w:ascii="Cambria" w:hAnsi="Cambria"/>
        </w:rPr>
        <w:t>) y favorece el empleo.</w:t>
      </w:r>
    </w:p>
    <w:p w14:paraId="4440EFBD" w14:textId="77777777" w:rsidR="00675C01" w:rsidRPr="002D4C10" w:rsidRDefault="00675C01" w:rsidP="002D4C10">
      <w:pPr>
        <w:numPr>
          <w:ilvl w:val="1"/>
          <w:numId w:val="1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Funciona como alternativa al endeudamiento externo y disciplina políticas económicas.</w:t>
      </w:r>
    </w:p>
    <w:p w14:paraId="0A39F9E2" w14:textId="77777777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t>2. Inversión Extranjera en España: Características</w:t>
      </w:r>
    </w:p>
    <w:p w14:paraId="6D340CDE" w14:textId="77777777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>2.1. Marco General</w:t>
      </w:r>
    </w:p>
    <w:p w14:paraId="00DEA294" w14:textId="77777777" w:rsidR="00675C01" w:rsidRPr="002D4C10" w:rsidRDefault="00675C01" w:rsidP="002D4C10">
      <w:pPr>
        <w:numPr>
          <w:ilvl w:val="0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Principio básico:</w:t>
      </w:r>
      <w:r w:rsidRPr="002D4C10">
        <w:rPr>
          <w:rFonts w:ascii="Cambria" w:hAnsi="Cambria"/>
        </w:rPr>
        <w:t xml:space="preserve"> Libertad de movimientos de capitales.</w:t>
      </w:r>
    </w:p>
    <w:p w14:paraId="780FBA0A" w14:textId="77777777" w:rsidR="00675C01" w:rsidRPr="002D4C10" w:rsidRDefault="00675C01" w:rsidP="002D4C10">
      <w:pPr>
        <w:numPr>
          <w:ilvl w:val="0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Excepciones:</w:t>
      </w:r>
    </w:p>
    <w:p w14:paraId="0E610D45" w14:textId="77777777" w:rsidR="00675C01" w:rsidRPr="002D4C10" w:rsidRDefault="00675C01" w:rsidP="002D4C10">
      <w:pPr>
        <w:numPr>
          <w:ilvl w:val="1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Sectores con regulación específica (Juego, TV/Radio, Transporte aéreo, Defensa).</w:t>
      </w:r>
    </w:p>
    <w:p w14:paraId="3C46C3D8" w14:textId="77777777" w:rsidR="00675C01" w:rsidRPr="002D4C10" w:rsidRDefault="00675C01" w:rsidP="002D4C10">
      <w:pPr>
        <w:numPr>
          <w:ilvl w:val="1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Suspensión por motivos de orden público, seguridad o salud pública.</w:t>
      </w:r>
    </w:p>
    <w:p w14:paraId="01D3FCA8" w14:textId="77777777" w:rsidR="00675C01" w:rsidRPr="002D4C10" w:rsidRDefault="00675C01" w:rsidP="002D4C10">
      <w:pPr>
        <w:numPr>
          <w:ilvl w:val="0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Titulares:</w:t>
      </w:r>
      <w:r w:rsidRPr="002D4C10">
        <w:rPr>
          <w:rFonts w:ascii="Cambria" w:hAnsi="Cambria"/>
        </w:rPr>
        <w:t xml:space="preserve"> Personas físicas no residentes y personas jurídicas/entidades públicas extranjeras.</w:t>
      </w:r>
    </w:p>
    <w:p w14:paraId="3C905B93" w14:textId="77777777" w:rsidR="00675C01" w:rsidRPr="002D4C10" w:rsidRDefault="00675C01" w:rsidP="002D4C10">
      <w:pPr>
        <w:numPr>
          <w:ilvl w:val="0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Obligación administrativa:</w:t>
      </w:r>
      <w:r w:rsidRPr="002D4C10">
        <w:rPr>
          <w:rFonts w:ascii="Cambria" w:hAnsi="Cambria"/>
        </w:rPr>
        <w:t xml:space="preserve"> Declaración al </w:t>
      </w:r>
      <w:r w:rsidRPr="002D4C10">
        <w:rPr>
          <w:rFonts w:ascii="Cambria" w:hAnsi="Cambria"/>
          <w:b/>
          <w:bCs/>
        </w:rPr>
        <w:t>Registro de Inversiones Exteriores</w:t>
      </w:r>
      <w:r w:rsidRPr="002D4C10">
        <w:rPr>
          <w:rFonts w:ascii="Cambria" w:hAnsi="Cambria"/>
        </w:rPr>
        <w:t xml:space="preserve"> (Ministerio de Economía/Comercio).</w:t>
      </w:r>
    </w:p>
    <w:p w14:paraId="0915E622" w14:textId="5F64E181" w:rsidR="00675C01" w:rsidRPr="002D4C10" w:rsidRDefault="00675C01" w:rsidP="002D4C10">
      <w:pPr>
        <w:numPr>
          <w:ilvl w:val="1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Regla general: Declaración posterior en el plazo de un mes (inversiones &gt; 3.005.060,52 €).</w:t>
      </w:r>
    </w:p>
    <w:p w14:paraId="282A54A9" w14:textId="4DB26A4D" w:rsidR="00675C01" w:rsidRPr="002D4C10" w:rsidRDefault="00675C01" w:rsidP="002D4C10">
      <w:pPr>
        <w:numPr>
          <w:ilvl w:val="1"/>
          <w:numId w:val="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Excepción: Declaración previa si procede de paraísos fiscales.</w:t>
      </w:r>
    </w:p>
    <w:p w14:paraId="7AFE949C" w14:textId="77777777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>2.2. Tipos de Inversión</w:t>
      </w:r>
    </w:p>
    <w:p w14:paraId="13980DE0" w14:textId="77777777" w:rsidR="00675C01" w:rsidRPr="002D4C10" w:rsidRDefault="00675C01" w:rsidP="002D4C10">
      <w:pPr>
        <w:numPr>
          <w:ilvl w:val="0"/>
          <w:numId w:val="3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Directa:</w:t>
      </w:r>
      <w:r w:rsidRPr="002D4C10">
        <w:rPr>
          <w:rFonts w:ascii="Cambria" w:hAnsi="Cambria"/>
        </w:rPr>
        <w:t xml:space="preserve"> ≥ 10% del capital o participación en gestión; sucursales; préstamos a largo plazo (&gt; 5 años).</w:t>
      </w:r>
    </w:p>
    <w:p w14:paraId="4B58FEC0" w14:textId="77777777" w:rsidR="00675C01" w:rsidRPr="002D4C10" w:rsidRDefault="00675C01" w:rsidP="002D4C10">
      <w:pPr>
        <w:numPr>
          <w:ilvl w:val="0"/>
          <w:numId w:val="3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Valores Negociables (Cartera):</w:t>
      </w:r>
      <w:r w:rsidRPr="002D4C10">
        <w:rPr>
          <w:rFonts w:ascii="Cambria" w:hAnsi="Cambria"/>
        </w:rPr>
        <w:t xml:space="preserve"> &lt; 10% del capital (acciones, bonos, pagarés, fondos de inversión).</w:t>
      </w:r>
    </w:p>
    <w:p w14:paraId="3031E451" w14:textId="77777777" w:rsidR="00675C01" w:rsidRPr="002D4C10" w:rsidRDefault="00675C01" w:rsidP="002D4C10">
      <w:pPr>
        <w:numPr>
          <w:ilvl w:val="0"/>
          <w:numId w:val="3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Inmuebles:</w:t>
      </w:r>
      <w:r w:rsidRPr="002D4C10">
        <w:rPr>
          <w:rFonts w:ascii="Cambria" w:hAnsi="Cambria"/>
        </w:rPr>
        <w:t xml:space="preserve"> Propiedad, derechos reales o tiempo compartido.</w:t>
      </w:r>
    </w:p>
    <w:p w14:paraId="0510C5BB" w14:textId="77777777" w:rsidR="00675C01" w:rsidRPr="002D4C10" w:rsidRDefault="00675C01" w:rsidP="002D4C10">
      <w:pPr>
        <w:numPr>
          <w:ilvl w:val="0"/>
          <w:numId w:val="3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Otras:</w:t>
      </w:r>
      <w:r w:rsidRPr="002D4C10">
        <w:rPr>
          <w:rFonts w:ascii="Cambria" w:hAnsi="Cambria"/>
        </w:rPr>
        <w:t xml:space="preserve"> Cuentas en participación, fundaciones, cooperativas, agrupaciones de interés económico.</w:t>
      </w:r>
    </w:p>
    <w:p w14:paraId="6F7E434A" w14:textId="77777777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lastRenderedPageBreak/>
        <w:t>3. Normativa y Tramitación</w:t>
      </w:r>
    </w:p>
    <w:p w14:paraId="59E85C1A" w14:textId="77777777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>3.1. Legislación Aplicable</w:t>
      </w:r>
    </w:p>
    <w:p w14:paraId="422232C7" w14:textId="197CE3CC" w:rsidR="00675C01" w:rsidRPr="002D4C10" w:rsidRDefault="00675C01" w:rsidP="002D4C10">
      <w:pPr>
        <w:numPr>
          <w:ilvl w:val="0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Nivel Comunitario:</w:t>
      </w:r>
      <w:r w:rsidRPr="002D4C10">
        <w:rPr>
          <w:rFonts w:ascii="Cambria" w:hAnsi="Cambria"/>
        </w:rPr>
        <w:t xml:space="preserve"> Tratado de Maastricht (</w:t>
      </w:r>
      <w:r w:rsidR="009E6D29" w:rsidRPr="002D4C10">
        <w:rPr>
          <w:rFonts w:ascii="Cambria" w:hAnsi="Cambria"/>
        </w:rPr>
        <w:t xml:space="preserve">Art 73 </w:t>
      </w:r>
      <w:r w:rsidRPr="002D4C10">
        <w:rPr>
          <w:rFonts w:ascii="Cambria" w:hAnsi="Cambria"/>
        </w:rPr>
        <w:t>libertad de capitales) y Reglamento (UE) 2019/452 (control de inversiones).</w:t>
      </w:r>
    </w:p>
    <w:p w14:paraId="3502D443" w14:textId="77777777" w:rsidR="00675C01" w:rsidRPr="002D4C10" w:rsidRDefault="00675C01" w:rsidP="002D4C10">
      <w:pPr>
        <w:numPr>
          <w:ilvl w:val="0"/>
          <w:numId w:val="4"/>
        </w:numPr>
        <w:jc w:val="both"/>
        <w:rPr>
          <w:rFonts w:ascii="Cambria" w:hAnsi="Cambria"/>
        </w:rPr>
      </w:pPr>
      <w:bookmarkStart w:id="0" w:name="_Hlk218877187"/>
      <w:r w:rsidRPr="002D4C10">
        <w:rPr>
          <w:rFonts w:ascii="Cambria" w:hAnsi="Cambria"/>
          <w:b/>
          <w:bCs/>
        </w:rPr>
        <w:t>Nivel Nacional:</w:t>
      </w:r>
    </w:p>
    <w:p w14:paraId="4895CB42" w14:textId="77777777" w:rsidR="00675C01" w:rsidRPr="002D4C10" w:rsidRDefault="00675C01" w:rsidP="002D4C10">
      <w:pPr>
        <w:numPr>
          <w:ilvl w:val="1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Ley 19/2003:</w:t>
      </w:r>
      <w:r w:rsidRPr="002D4C10">
        <w:rPr>
          <w:rFonts w:ascii="Cambria" w:hAnsi="Cambria"/>
        </w:rPr>
        <w:t xml:space="preserve"> Régimen jurídico de movimientos de capitales.</w:t>
      </w:r>
    </w:p>
    <w:p w14:paraId="35A3704E" w14:textId="77777777" w:rsidR="00675C01" w:rsidRPr="002D4C10" w:rsidRDefault="00675C01" w:rsidP="002D4C10">
      <w:pPr>
        <w:numPr>
          <w:ilvl w:val="2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Establece libertad y definiciones (residente/no residente).</w:t>
      </w:r>
    </w:p>
    <w:p w14:paraId="5A182532" w14:textId="77777777" w:rsidR="00675C01" w:rsidRPr="002D4C10" w:rsidRDefault="00675C01" w:rsidP="002D4C10">
      <w:pPr>
        <w:numPr>
          <w:ilvl w:val="2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Régimen sancionador (infracciones muy graves, graves y leves).</w:t>
      </w:r>
    </w:p>
    <w:p w14:paraId="6B57C63A" w14:textId="77777777" w:rsidR="00675C01" w:rsidRPr="002D4C10" w:rsidRDefault="00675C01" w:rsidP="002D4C10">
      <w:pPr>
        <w:numPr>
          <w:ilvl w:val="2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Cláusulas de salvaguardia (suspensión de liberalización).</w:t>
      </w:r>
    </w:p>
    <w:p w14:paraId="215CA1D3" w14:textId="77777777" w:rsidR="00675C01" w:rsidRPr="002D4C10" w:rsidRDefault="00675C01" w:rsidP="002D4C10">
      <w:pPr>
        <w:numPr>
          <w:ilvl w:val="1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Real Decreto 571/2023:</w:t>
      </w:r>
      <w:r w:rsidRPr="002D4C10">
        <w:rPr>
          <w:rFonts w:ascii="Cambria" w:hAnsi="Cambria"/>
        </w:rPr>
        <w:t xml:space="preserve"> Regula inversiones exteriores y adecúa el ordenamiento a la normativa UE.</w:t>
      </w:r>
    </w:p>
    <w:p w14:paraId="79B8CDC7" w14:textId="77777777" w:rsidR="00675C01" w:rsidRPr="002D4C10" w:rsidRDefault="00675C01" w:rsidP="002D4C10">
      <w:pPr>
        <w:numPr>
          <w:ilvl w:val="1"/>
          <w:numId w:val="4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Régimen de suspensión ("Escudo anti-opas"):</w:t>
      </w:r>
      <w:r w:rsidRPr="002D4C10">
        <w:rPr>
          <w:rFonts w:ascii="Cambria" w:hAnsi="Cambria"/>
        </w:rPr>
        <w:t xml:space="preserve"> R.D.-ley 34/2020 (y prórrogas). Requiere autorización para inversiones extranjeras directas (&gt;500M€ o estratégicas) de residentes UE/EFTA y extracomunitarios por razones de seguridad/salud pública.</w:t>
      </w:r>
    </w:p>
    <w:bookmarkEnd w:id="0"/>
    <w:p w14:paraId="41BB38FD" w14:textId="44415DD4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 xml:space="preserve">3.2. Tramitación </w:t>
      </w:r>
    </w:p>
    <w:p w14:paraId="468618C1" w14:textId="77777777" w:rsidR="00675C01" w:rsidRPr="002D4C10" w:rsidRDefault="00675C01" w:rsidP="002D4C10">
      <w:pPr>
        <w:numPr>
          <w:ilvl w:val="0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Normativa de desarrollo:</w:t>
      </w:r>
      <w:r w:rsidRPr="002D4C10">
        <w:rPr>
          <w:rFonts w:ascii="Cambria" w:hAnsi="Cambria"/>
        </w:rPr>
        <w:t xml:space="preserve"> Resolución de enero de 2024 y Orden ECM/57/2024.</w:t>
      </w:r>
    </w:p>
    <w:p w14:paraId="21706B99" w14:textId="77777777" w:rsidR="00675C01" w:rsidRPr="002D4C10" w:rsidRDefault="00675C01" w:rsidP="002D4C10">
      <w:pPr>
        <w:numPr>
          <w:ilvl w:val="0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Modelos principales (Inversión Extranjera en España):</w:t>
      </w:r>
    </w:p>
    <w:p w14:paraId="70DC8AFF" w14:textId="77777777" w:rsidR="00675C01" w:rsidRPr="002D4C10" w:rsidRDefault="00675C01" w:rsidP="002D4C10">
      <w:pPr>
        <w:numPr>
          <w:ilvl w:val="1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DP-1 / DP-2:</w:t>
      </w:r>
      <w:r w:rsidRPr="002D4C10">
        <w:rPr>
          <w:rFonts w:ascii="Cambria" w:hAnsi="Cambria"/>
        </w:rPr>
        <w:t xml:space="preserve"> Declaración previa desde paraísos fiscales (sociedades / inmuebles).</w:t>
      </w:r>
    </w:p>
    <w:p w14:paraId="57CD3E3D" w14:textId="77777777" w:rsidR="00675C01" w:rsidRPr="002D4C10" w:rsidRDefault="00675C01" w:rsidP="002D4C10">
      <w:pPr>
        <w:numPr>
          <w:ilvl w:val="1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D-1A / D-1B:</w:t>
      </w:r>
      <w:r w:rsidRPr="002D4C10">
        <w:rPr>
          <w:rFonts w:ascii="Cambria" w:hAnsi="Cambria"/>
        </w:rPr>
        <w:t xml:space="preserve"> Inversión/Desinversión en sociedades no cotizadas y sucursales.</w:t>
      </w:r>
    </w:p>
    <w:p w14:paraId="77D98FAF" w14:textId="77777777" w:rsidR="00675C01" w:rsidRPr="002D4C10" w:rsidRDefault="00675C01" w:rsidP="002D4C10">
      <w:pPr>
        <w:numPr>
          <w:ilvl w:val="1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D-2A / D-2B:</w:t>
      </w:r>
      <w:r w:rsidRPr="002D4C10">
        <w:rPr>
          <w:rFonts w:ascii="Cambria" w:hAnsi="Cambria"/>
        </w:rPr>
        <w:t xml:space="preserve"> Inversión/Desinversión en bienes inmuebles.</w:t>
      </w:r>
    </w:p>
    <w:p w14:paraId="706A317F" w14:textId="77777777" w:rsidR="00675C01" w:rsidRPr="002D4C10" w:rsidRDefault="00675C01" w:rsidP="002D4C10">
      <w:pPr>
        <w:numPr>
          <w:ilvl w:val="1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D-4:</w:t>
      </w:r>
      <w:r w:rsidRPr="002D4C10">
        <w:rPr>
          <w:rFonts w:ascii="Cambria" w:hAnsi="Cambria"/>
        </w:rPr>
        <w:t xml:space="preserve"> Memoria anual de la inversión extranjera.</w:t>
      </w:r>
    </w:p>
    <w:p w14:paraId="34F9B7F8" w14:textId="7E863815" w:rsidR="00675C01" w:rsidRPr="002D4C10" w:rsidRDefault="00675C01" w:rsidP="002D4C10">
      <w:pPr>
        <w:numPr>
          <w:ilvl w:val="0"/>
          <w:numId w:val="5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Herramienta:</w:t>
      </w:r>
      <w:r w:rsidRPr="002D4C10">
        <w:rPr>
          <w:rFonts w:ascii="Cambria" w:hAnsi="Cambria"/>
        </w:rPr>
        <w:t xml:space="preserve"> Programa </w:t>
      </w:r>
      <w:r w:rsidRPr="002D4C10">
        <w:rPr>
          <w:rFonts w:ascii="Cambria" w:hAnsi="Cambria"/>
          <w:b/>
          <w:bCs/>
        </w:rPr>
        <w:t>AFORIX</w:t>
      </w:r>
      <w:r w:rsidRPr="002D4C10">
        <w:rPr>
          <w:rFonts w:ascii="Cambria" w:hAnsi="Cambria"/>
        </w:rPr>
        <w:t xml:space="preserve"> para la cumplimentación telemática.</w:t>
      </w:r>
    </w:p>
    <w:p w14:paraId="6B136F0C" w14:textId="3B1F72C8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t xml:space="preserve">4. Registro de Inversiones </w:t>
      </w:r>
    </w:p>
    <w:p w14:paraId="639803E9" w14:textId="77777777" w:rsidR="00675C01" w:rsidRPr="002D4C10" w:rsidRDefault="00675C01" w:rsidP="002D4C10">
      <w:pPr>
        <w:numPr>
          <w:ilvl w:val="0"/>
          <w:numId w:val="6"/>
        </w:numPr>
        <w:jc w:val="both"/>
        <w:rPr>
          <w:rFonts w:ascii="Cambria" w:hAnsi="Cambria"/>
        </w:rPr>
      </w:pPr>
      <w:bookmarkStart w:id="1" w:name="_Hlk218877260"/>
      <w:r w:rsidRPr="002D4C10">
        <w:rPr>
          <w:rFonts w:ascii="Cambria" w:hAnsi="Cambria"/>
          <w:b/>
          <w:bCs/>
        </w:rPr>
        <w:t>Función:</w:t>
      </w:r>
      <w:r w:rsidRPr="002D4C10">
        <w:rPr>
          <w:rFonts w:ascii="Cambria" w:hAnsi="Cambria"/>
        </w:rPr>
        <w:t xml:space="preserve"> Registro administrativo y estadístico de operaciones declaradas.</w:t>
      </w:r>
    </w:p>
    <w:p w14:paraId="59DAF8DB" w14:textId="77777777" w:rsidR="00675C01" w:rsidRPr="002D4C10" w:rsidRDefault="00675C01" w:rsidP="002D4C10">
      <w:pPr>
        <w:numPr>
          <w:ilvl w:val="0"/>
          <w:numId w:val="6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Contenido:</w:t>
      </w:r>
    </w:p>
    <w:p w14:paraId="4089C306" w14:textId="77777777" w:rsidR="00675C01" w:rsidRPr="002D4C10" w:rsidRDefault="00675C01" w:rsidP="002D4C10">
      <w:pPr>
        <w:numPr>
          <w:ilvl w:val="1"/>
          <w:numId w:val="6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Incluye participación en capital y préstamos capitalizados.</w:t>
      </w:r>
    </w:p>
    <w:p w14:paraId="000B9261" w14:textId="77777777" w:rsidR="00675C01" w:rsidRPr="002D4C10" w:rsidRDefault="00675C01" w:rsidP="002D4C10">
      <w:pPr>
        <w:numPr>
          <w:ilvl w:val="1"/>
          <w:numId w:val="6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lastRenderedPageBreak/>
        <w:t>Excluye financiación entre empresas relacionadas y reinversión de beneficios (salvo capitalización).</w:t>
      </w:r>
    </w:p>
    <w:p w14:paraId="56FB3481" w14:textId="77777777" w:rsidR="00675C01" w:rsidRPr="002D4C10" w:rsidRDefault="00675C01" w:rsidP="002D4C10">
      <w:pPr>
        <w:numPr>
          <w:ilvl w:val="0"/>
          <w:numId w:val="6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Entidades de Tenencia de Valores Extranjeros (ETVE):</w:t>
      </w:r>
      <w:r w:rsidRPr="002D4C10">
        <w:rPr>
          <w:rFonts w:ascii="Cambria" w:hAnsi="Cambria"/>
        </w:rPr>
        <w:t xml:space="preserve"> Tratamiento diferenciado en estadísticas por ser instrumentales (sin impacto directo en empleo/activos, solo canalizan dividendos).</w:t>
      </w:r>
    </w:p>
    <w:p w14:paraId="7E1A2B94" w14:textId="77777777" w:rsidR="00675C01" w:rsidRPr="002D4C10" w:rsidRDefault="00675C01" w:rsidP="002D4C10">
      <w:pPr>
        <w:numPr>
          <w:ilvl w:val="0"/>
          <w:numId w:val="6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Diferencias con Balanza de Pagos (Banco de España):</w:t>
      </w:r>
    </w:p>
    <w:p w14:paraId="4D06B7C3" w14:textId="77777777" w:rsidR="00675C01" w:rsidRPr="002D4C10" w:rsidRDefault="00675C01" w:rsidP="002D4C10">
      <w:pPr>
        <w:numPr>
          <w:ilvl w:val="1"/>
          <w:numId w:val="7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Conceptos:</w:t>
      </w:r>
      <w:r w:rsidRPr="002D4C10">
        <w:rPr>
          <w:rFonts w:ascii="Cambria" w:hAnsi="Cambria"/>
        </w:rPr>
        <w:t xml:space="preserve"> BP incluye reinversión de beneficios y financiación inter-empresas; RIE no.</w:t>
      </w:r>
    </w:p>
    <w:p w14:paraId="15C49C5E" w14:textId="77777777" w:rsidR="00675C01" w:rsidRPr="002D4C10" w:rsidRDefault="00675C01" w:rsidP="002D4C10">
      <w:pPr>
        <w:numPr>
          <w:ilvl w:val="1"/>
          <w:numId w:val="7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Criterio temporal:</w:t>
      </w:r>
      <w:r w:rsidRPr="002D4C10">
        <w:rPr>
          <w:rFonts w:ascii="Cambria" w:hAnsi="Cambria"/>
        </w:rPr>
        <w:t xml:space="preserve"> BP usa criterio de caja (pagos); RIE usa criterio de devengo (formalización).</w:t>
      </w:r>
    </w:p>
    <w:p w14:paraId="32AF8489" w14:textId="77777777" w:rsidR="00675C01" w:rsidRPr="002D4C10" w:rsidRDefault="00675C01" w:rsidP="002D4C10">
      <w:pPr>
        <w:numPr>
          <w:ilvl w:val="1"/>
          <w:numId w:val="7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Criterio geográfico:</w:t>
      </w:r>
      <w:r w:rsidRPr="002D4C10">
        <w:rPr>
          <w:rFonts w:ascii="Cambria" w:hAnsi="Cambria"/>
        </w:rPr>
        <w:t xml:space="preserve"> BP asigna al país inmediato (primera contrapartida); RIE asigna al país del inversor final (origen último).</w:t>
      </w:r>
    </w:p>
    <w:p w14:paraId="127C5310" w14:textId="4ED9669E" w:rsidR="00675C01" w:rsidRPr="002D4C10" w:rsidRDefault="00675C01" w:rsidP="002D4C10">
      <w:pPr>
        <w:numPr>
          <w:ilvl w:val="1"/>
          <w:numId w:val="7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Valoración:</w:t>
      </w:r>
      <w:r w:rsidRPr="002D4C10">
        <w:rPr>
          <w:rFonts w:ascii="Cambria" w:hAnsi="Cambria"/>
        </w:rPr>
        <w:t xml:space="preserve"> BP registra flujos netos (activos pasivos); RIE registra valores brutos y desinversiones por separado.</w:t>
      </w:r>
    </w:p>
    <w:bookmarkEnd w:id="1"/>
    <w:p w14:paraId="468B57BE" w14:textId="77777777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t>5. Análisis de Flujos (Datos 2023)</w:t>
      </w:r>
    </w:p>
    <w:p w14:paraId="6AB1E013" w14:textId="77777777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>5.1. Conceptos Previos</w:t>
      </w:r>
    </w:p>
    <w:p w14:paraId="44EE20C1" w14:textId="77777777" w:rsidR="00675C01" w:rsidRPr="002D4C10" w:rsidRDefault="00675C01" w:rsidP="002D4C10">
      <w:pPr>
        <w:numPr>
          <w:ilvl w:val="0"/>
          <w:numId w:val="8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Posición de Inversión Internacional (PII):</w:t>
      </w:r>
      <w:r w:rsidRPr="002D4C10">
        <w:rPr>
          <w:rFonts w:ascii="Cambria" w:hAnsi="Cambria"/>
        </w:rPr>
        <w:t xml:space="preserve"> Stock de activos y pasivos externos.</w:t>
      </w:r>
    </w:p>
    <w:p w14:paraId="7E6B5C82" w14:textId="77777777" w:rsidR="00675C01" w:rsidRPr="002D4C10" w:rsidRDefault="00675C01" w:rsidP="002D4C10">
      <w:pPr>
        <w:numPr>
          <w:ilvl w:val="0"/>
          <w:numId w:val="8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PII Neta:</w:t>
      </w:r>
      <w:r w:rsidRPr="002D4C10">
        <w:rPr>
          <w:rFonts w:ascii="Cambria" w:hAnsi="Cambria"/>
        </w:rPr>
        <w:t xml:space="preserve"> Diferencia entre activos y pasivos (posición acreedora o deudora). Depende de transacciones, valoración (tipo de cambio/precios) y otros ajustes.</w:t>
      </w:r>
    </w:p>
    <w:p w14:paraId="77C8E39B" w14:textId="77777777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>5.2. Inversión Bruta 2023</w:t>
      </w:r>
    </w:p>
    <w:p w14:paraId="70D09F3A" w14:textId="77777777" w:rsidR="00675C01" w:rsidRPr="002D4C10" w:rsidRDefault="00675C01" w:rsidP="002D4C10">
      <w:pPr>
        <w:numPr>
          <w:ilvl w:val="0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Volumen:</w:t>
      </w:r>
    </w:p>
    <w:p w14:paraId="0E795FE5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Total: 32.639 M€ (ligero aumento sobre media quinquenal).</w:t>
      </w:r>
    </w:p>
    <w:p w14:paraId="6160965A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Productiva (No ETVE): 28.215 M€ (descenso del 18,5% respecto a 2022).</w:t>
      </w:r>
    </w:p>
    <w:p w14:paraId="5174E372" w14:textId="77777777" w:rsidR="00675C01" w:rsidRPr="002D4C10" w:rsidRDefault="00675C01" w:rsidP="002D4C10">
      <w:pPr>
        <w:numPr>
          <w:ilvl w:val="0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Tipología:</w:t>
      </w:r>
      <w:r w:rsidRPr="002D4C10">
        <w:rPr>
          <w:rFonts w:ascii="Cambria" w:hAnsi="Cambria"/>
        </w:rPr>
        <w:t xml:space="preserve"> Predominio absoluto de sociedades no cotizadas (97%). Las nuevas aportaciones (Greenfield/Brownfield) superan a las adquisiciones.</w:t>
      </w:r>
    </w:p>
    <w:p w14:paraId="0C4663B6" w14:textId="77777777" w:rsidR="00675C01" w:rsidRPr="002D4C10" w:rsidRDefault="00675C01" w:rsidP="002D4C10">
      <w:pPr>
        <w:numPr>
          <w:ilvl w:val="0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Geografía (País Último):</w:t>
      </w:r>
    </w:p>
    <w:p w14:paraId="036BE1B0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EEUU (29%):</w:t>
      </w:r>
      <w:r w:rsidRPr="002D4C10">
        <w:rPr>
          <w:rFonts w:ascii="Cambria" w:hAnsi="Cambria"/>
        </w:rPr>
        <w:t xml:space="preserve"> Principal inversor (creciente protagonismo de fondos privados).</w:t>
      </w:r>
    </w:p>
    <w:p w14:paraId="5CBDC2A0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Reino Unido:</w:t>
      </w:r>
      <w:r w:rsidRPr="002D4C10">
        <w:rPr>
          <w:rFonts w:ascii="Cambria" w:hAnsi="Cambria"/>
        </w:rPr>
        <w:t xml:space="preserve"> Segundo inversor, aunque con retroceso.</w:t>
      </w:r>
    </w:p>
    <w:p w14:paraId="76E05BF9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lastRenderedPageBreak/>
        <w:t>Otros:</w:t>
      </w:r>
      <w:r w:rsidRPr="002D4C10">
        <w:rPr>
          <w:rFonts w:ascii="Cambria" w:hAnsi="Cambria"/>
        </w:rPr>
        <w:t xml:space="preserve"> Alemania, Francia (caída notable), Australia (relevante), Suiza y México.</w:t>
      </w:r>
    </w:p>
    <w:p w14:paraId="18355639" w14:textId="77777777" w:rsidR="00675C01" w:rsidRPr="002D4C10" w:rsidRDefault="00675C01" w:rsidP="002D4C10">
      <w:pPr>
        <w:numPr>
          <w:ilvl w:val="0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Sectores:</w:t>
      </w:r>
    </w:p>
    <w:p w14:paraId="51397870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Servicios (54%):</w:t>
      </w:r>
      <w:r w:rsidRPr="002D4C10">
        <w:rPr>
          <w:rFonts w:ascii="Cambria" w:hAnsi="Cambria"/>
        </w:rPr>
        <w:t xml:space="preserve"> Liderado por Comercio mayorista y Telecomunicaciones.</w:t>
      </w:r>
    </w:p>
    <w:p w14:paraId="24CE2F37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Industria (42%):</w:t>
      </w:r>
      <w:r w:rsidRPr="002D4C10">
        <w:rPr>
          <w:rFonts w:ascii="Cambria" w:hAnsi="Cambria"/>
        </w:rPr>
        <w:t xml:space="preserve"> Aumento significativo, especialmente en Energía (Petróleo/Gas y Electricidad).</w:t>
      </w:r>
    </w:p>
    <w:p w14:paraId="14F6123F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i/>
          <w:iCs/>
        </w:rPr>
        <w:t>Tendencia:</w:t>
      </w:r>
      <w:r w:rsidRPr="002D4C10">
        <w:rPr>
          <w:rFonts w:ascii="Cambria" w:hAnsi="Cambria"/>
        </w:rPr>
        <w:t xml:space="preserve"> Reorientación desde construcción/inmobiliario hacia TIC e Industria manufacturera.</w:t>
      </w:r>
    </w:p>
    <w:p w14:paraId="3F26B661" w14:textId="77777777" w:rsidR="00675C01" w:rsidRPr="002D4C10" w:rsidRDefault="00675C01" w:rsidP="002D4C10">
      <w:pPr>
        <w:numPr>
          <w:ilvl w:val="0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Destino (CC.AA.):</w:t>
      </w:r>
    </w:p>
    <w:p w14:paraId="4B2F899E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Madrid (54%):</w:t>
      </w:r>
      <w:r w:rsidRPr="002D4C10">
        <w:rPr>
          <w:rFonts w:ascii="Cambria" w:hAnsi="Cambria"/>
        </w:rPr>
        <w:t xml:space="preserve"> Líder indiscutible, aunque pierde peso relativo.</w:t>
      </w:r>
    </w:p>
    <w:p w14:paraId="79BF5F31" w14:textId="77777777" w:rsidR="00675C01" w:rsidRPr="002D4C10" w:rsidRDefault="00675C01" w:rsidP="002D4C10">
      <w:pPr>
        <w:numPr>
          <w:ilvl w:val="1"/>
          <w:numId w:val="9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Cataluña y Valencia:</w:t>
      </w:r>
      <w:r w:rsidRPr="002D4C10">
        <w:rPr>
          <w:rFonts w:ascii="Cambria" w:hAnsi="Cambria"/>
        </w:rPr>
        <w:t xml:space="preserve"> Mejoran su posición.</w:t>
      </w:r>
    </w:p>
    <w:p w14:paraId="3DB3D11D" w14:textId="77777777" w:rsidR="00675C01" w:rsidRPr="002D4C10" w:rsidRDefault="00675C01" w:rsidP="002D4C10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D4C10">
        <w:rPr>
          <w:rFonts w:ascii="Cambria" w:hAnsi="Cambria"/>
          <w:b/>
          <w:bCs/>
          <w:color w:val="auto"/>
          <w:sz w:val="24"/>
          <w:szCs w:val="24"/>
        </w:rPr>
        <w:t>5.3. Desinversiones</w:t>
      </w:r>
    </w:p>
    <w:p w14:paraId="366A182F" w14:textId="77777777" w:rsidR="00675C01" w:rsidRPr="002D4C10" w:rsidRDefault="00675C01" w:rsidP="002D4C10">
      <w:pPr>
        <w:numPr>
          <w:ilvl w:val="0"/>
          <w:numId w:val="10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Tendencia:</w:t>
      </w:r>
      <w:r w:rsidRPr="002D4C10">
        <w:rPr>
          <w:rFonts w:ascii="Cambria" w:hAnsi="Cambria"/>
        </w:rPr>
        <w:t xml:space="preserve"> Fuerte descenso (-37,4%).</w:t>
      </w:r>
    </w:p>
    <w:p w14:paraId="1F2E83F7" w14:textId="77777777" w:rsidR="00675C01" w:rsidRPr="002D4C10" w:rsidRDefault="00675C01" w:rsidP="002D4C10">
      <w:pPr>
        <w:numPr>
          <w:ilvl w:val="0"/>
          <w:numId w:val="10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Modalidad:</w:t>
      </w:r>
      <w:r w:rsidRPr="002D4C10">
        <w:rPr>
          <w:rFonts w:ascii="Cambria" w:hAnsi="Cambria"/>
        </w:rPr>
        <w:t xml:space="preserve"> Preferencia por venta a residentes (permite continuidad de actividad) frente a liquidaciones.</w:t>
      </w:r>
    </w:p>
    <w:p w14:paraId="568959BE" w14:textId="77777777" w:rsidR="00675C01" w:rsidRPr="002D4C10" w:rsidRDefault="00675C01" w:rsidP="002D4C10">
      <w:pPr>
        <w:numPr>
          <w:ilvl w:val="0"/>
          <w:numId w:val="10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Origen:</w:t>
      </w:r>
      <w:r w:rsidRPr="002D4C10">
        <w:rPr>
          <w:rFonts w:ascii="Cambria" w:hAnsi="Cambria"/>
        </w:rPr>
        <w:t xml:space="preserve"> Concentradas en </w:t>
      </w:r>
      <w:r w:rsidRPr="002D4C10">
        <w:rPr>
          <w:rFonts w:ascii="Cambria" w:hAnsi="Cambria"/>
          <w:b/>
          <w:bCs/>
        </w:rPr>
        <w:t>Francia</w:t>
      </w:r>
      <w:r w:rsidRPr="002D4C10">
        <w:rPr>
          <w:rFonts w:ascii="Cambria" w:hAnsi="Cambria"/>
        </w:rPr>
        <w:t xml:space="preserve"> (41% del total), seguida de EEUU.</w:t>
      </w:r>
    </w:p>
    <w:p w14:paraId="6E44C502" w14:textId="77777777" w:rsidR="00675C01" w:rsidRPr="002D4C10" w:rsidRDefault="00675C01" w:rsidP="002D4C10">
      <w:pPr>
        <w:numPr>
          <w:ilvl w:val="0"/>
          <w:numId w:val="10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Sectores:</w:t>
      </w:r>
      <w:r w:rsidRPr="002D4C10">
        <w:rPr>
          <w:rFonts w:ascii="Cambria" w:hAnsi="Cambria"/>
        </w:rPr>
        <w:t xml:space="preserve"> Información y Comunicaciones (principal sector desinvertido).</w:t>
      </w:r>
    </w:p>
    <w:p w14:paraId="5F46C8A6" w14:textId="77777777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t>6. Efectos de la Inversión Extranjera</w:t>
      </w:r>
    </w:p>
    <w:p w14:paraId="398C69F0" w14:textId="77777777" w:rsidR="00675C01" w:rsidRPr="002D4C10" w:rsidRDefault="00675C01" w:rsidP="002D4C10">
      <w:pPr>
        <w:numPr>
          <w:ilvl w:val="0"/>
          <w:numId w:val="11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Impacto Económico:</w:t>
      </w:r>
    </w:p>
    <w:p w14:paraId="5AC8E9A9" w14:textId="77777777" w:rsidR="00675C01" w:rsidRPr="002D4C10" w:rsidRDefault="00675C01" w:rsidP="002D4C10">
      <w:pPr>
        <w:numPr>
          <w:ilvl w:val="1"/>
          <w:numId w:val="11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Factor clave de competitividad y modernización.</w:t>
      </w:r>
    </w:p>
    <w:p w14:paraId="68B8F18D" w14:textId="77777777" w:rsidR="00675C01" w:rsidRPr="002D4C10" w:rsidRDefault="00675C01" w:rsidP="002D4C10">
      <w:pPr>
        <w:numPr>
          <w:ilvl w:val="1"/>
          <w:numId w:val="11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Concentración en industria manufacturera (automoción), comercio y energía.</w:t>
      </w:r>
    </w:p>
    <w:p w14:paraId="1A17A36A" w14:textId="77777777" w:rsidR="00675C01" w:rsidRPr="002D4C10" w:rsidRDefault="00675C01" w:rsidP="002D4C10">
      <w:pPr>
        <w:numPr>
          <w:ilvl w:val="0"/>
          <w:numId w:val="11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Cualitativo:</w:t>
      </w:r>
      <w:r w:rsidRPr="002D4C10">
        <w:rPr>
          <w:rFonts w:ascii="Cambria" w:hAnsi="Cambria"/>
        </w:rPr>
        <w:t xml:space="preserve"> Desarrollo de sectores de alto valor añadido (Biotecnología, Agroalimentación).</w:t>
      </w:r>
    </w:p>
    <w:p w14:paraId="17E4D048" w14:textId="77777777" w:rsidR="00675C01" w:rsidRPr="002D4C10" w:rsidRDefault="00675C01" w:rsidP="002D4C10">
      <w:pPr>
        <w:numPr>
          <w:ilvl w:val="0"/>
          <w:numId w:val="11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Empleo:</w:t>
      </w:r>
      <w:r w:rsidRPr="002D4C10">
        <w:rPr>
          <w:rFonts w:ascii="Cambria" w:hAnsi="Cambria"/>
        </w:rPr>
        <w:t xml:space="preserve"> Aportación significativa en industria (20,9% del empleo total del sector) y servicios.</w:t>
      </w:r>
    </w:p>
    <w:p w14:paraId="40172B87" w14:textId="77777777" w:rsidR="00675C01" w:rsidRPr="002D4C10" w:rsidRDefault="00675C01" w:rsidP="002D4C10">
      <w:pPr>
        <w:numPr>
          <w:ilvl w:val="0"/>
          <w:numId w:val="11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I+D+i:</w:t>
      </w:r>
      <w:r w:rsidRPr="002D4C10">
        <w:rPr>
          <w:rFonts w:ascii="Cambria" w:hAnsi="Cambria"/>
        </w:rPr>
        <w:t xml:space="preserve"> España es el 3er país de la UE con más centros de I+D de multinacionales. Las filiales extranjeras aportan más del 26% de la inversión total en I+D.</w:t>
      </w:r>
    </w:p>
    <w:p w14:paraId="53EDBDEC" w14:textId="77777777" w:rsidR="00675C01" w:rsidRPr="002D4C10" w:rsidRDefault="00675C01" w:rsidP="002D4C10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D4C10">
        <w:rPr>
          <w:rFonts w:ascii="Cambria" w:hAnsi="Cambria"/>
          <w:b/>
          <w:bCs/>
          <w:color w:val="auto"/>
          <w:sz w:val="28"/>
          <w:szCs w:val="28"/>
        </w:rPr>
        <w:lastRenderedPageBreak/>
        <w:t>7. Atracción de Inversiones: ICEX-Invest in Spain</w:t>
      </w:r>
    </w:p>
    <w:p w14:paraId="629BE571" w14:textId="77777777" w:rsidR="00675C01" w:rsidRPr="002D4C10" w:rsidRDefault="00675C01" w:rsidP="002D4C10">
      <w:pPr>
        <w:numPr>
          <w:ilvl w:val="0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Origen:</w:t>
      </w:r>
      <w:r w:rsidRPr="002D4C10">
        <w:rPr>
          <w:rFonts w:ascii="Cambria" w:hAnsi="Cambria"/>
        </w:rPr>
        <w:t xml:space="preserve"> Sociedad estatal creada en 2005, integrada en ICEX en 2012.</w:t>
      </w:r>
    </w:p>
    <w:p w14:paraId="11BE10AC" w14:textId="77777777" w:rsidR="00675C01" w:rsidRPr="002D4C10" w:rsidRDefault="00675C01" w:rsidP="002D4C10">
      <w:pPr>
        <w:numPr>
          <w:ilvl w:val="0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Dependencia:</w:t>
      </w:r>
      <w:r w:rsidRPr="002D4C10">
        <w:rPr>
          <w:rFonts w:ascii="Cambria" w:hAnsi="Cambria"/>
        </w:rPr>
        <w:t xml:space="preserve"> Secretaría de Estado de Comercio (Ministerio de Economía).</w:t>
      </w:r>
    </w:p>
    <w:p w14:paraId="43924A2F" w14:textId="77777777" w:rsidR="00675C01" w:rsidRPr="002D4C10" w:rsidRDefault="00675C01" w:rsidP="002D4C10">
      <w:pPr>
        <w:numPr>
          <w:ilvl w:val="0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Misión:</w:t>
      </w:r>
      <w:r w:rsidRPr="002D4C10">
        <w:rPr>
          <w:rFonts w:ascii="Cambria" w:hAnsi="Cambria"/>
        </w:rPr>
        <w:t xml:space="preserve"> Promoción, atracción y fidelización de inversión extranjera.</w:t>
      </w:r>
    </w:p>
    <w:p w14:paraId="5E34D3A6" w14:textId="77777777" w:rsidR="00675C01" w:rsidRPr="002D4C10" w:rsidRDefault="00675C01" w:rsidP="002D4C10">
      <w:pPr>
        <w:numPr>
          <w:ilvl w:val="0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Líneas de Actuación:</w:t>
      </w:r>
    </w:p>
    <w:p w14:paraId="2BA87AB2" w14:textId="77777777" w:rsidR="00675C01" w:rsidRPr="002D4C10" w:rsidRDefault="00675C01" w:rsidP="002D4C10">
      <w:pPr>
        <w:numPr>
          <w:ilvl w:val="1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Captación de nuevas inversiones (generadoras de empleo/riqueza).</w:t>
      </w:r>
    </w:p>
    <w:p w14:paraId="7977CE03" w14:textId="77777777" w:rsidR="00675C01" w:rsidRPr="002D4C10" w:rsidRDefault="00675C01" w:rsidP="002D4C10">
      <w:pPr>
        <w:numPr>
          <w:ilvl w:val="1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Servicios al inversor (</w:t>
      </w:r>
      <w:r w:rsidRPr="002D4C10">
        <w:rPr>
          <w:rFonts w:ascii="Cambria" w:hAnsi="Cambria"/>
          <w:i/>
          <w:iCs/>
        </w:rPr>
        <w:t>Aftercare</w:t>
      </w:r>
      <w:r w:rsidRPr="002D4C10">
        <w:rPr>
          <w:rFonts w:ascii="Cambria" w:hAnsi="Cambria"/>
        </w:rPr>
        <w:t>) en todas las etapas (pre y post inversión).</w:t>
      </w:r>
    </w:p>
    <w:p w14:paraId="042730A5" w14:textId="77777777" w:rsidR="00675C01" w:rsidRPr="002D4C10" w:rsidRDefault="00675C01" w:rsidP="002D4C10">
      <w:pPr>
        <w:numPr>
          <w:ilvl w:val="1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Mejora del clima de negocios (identificación de barreras).</w:t>
      </w:r>
    </w:p>
    <w:p w14:paraId="6E81DE9D" w14:textId="77777777" w:rsidR="00675C01" w:rsidRPr="002D4C10" w:rsidRDefault="00675C01" w:rsidP="002D4C10">
      <w:pPr>
        <w:numPr>
          <w:ilvl w:val="1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</w:rPr>
        <w:t>Promoción de imagen país (moderno e innovador).</w:t>
      </w:r>
    </w:p>
    <w:p w14:paraId="0746217A" w14:textId="77777777" w:rsidR="00675C01" w:rsidRPr="002D4C10" w:rsidRDefault="00675C01" w:rsidP="002D4C10">
      <w:pPr>
        <w:numPr>
          <w:ilvl w:val="0"/>
          <w:numId w:val="12"/>
        </w:numPr>
        <w:jc w:val="both"/>
        <w:rPr>
          <w:rFonts w:ascii="Cambria" w:hAnsi="Cambria"/>
        </w:rPr>
      </w:pPr>
      <w:r w:rsidRPr="002D4C10">
        <w:rPr>
          <w:rFonts w:ascii="Cambria" w:hAnsi="Cambria"/>
          <w:b/>
          <w:bCs/>
        </w:rPr>
        <w:t>Ejemplos de éxito:</w:t>
      </w:r>
      <w:r w:rsidRPr="002D4C10">
        <w:rPr>
          <w:rFonts w:ascii="Cambria" w:hAnsi="Cambria"/>
        </w:rPr>
        <w:t xml:space="preserve"> Costco, Huawei, Volkswagen, Nissan, Amazon, Hitachi Energy, Chery, etc.</w:t>
      </w:r>
    </w:p>
    <w:p w14:paraId="5BB92BE0" w14:textId="77777777" w:rsidR="00A65383" w:rsidRPr="002D4C10" w:rsidRDefault="00A65383" w:rsidP="002D4C10">
      <w:pPr>
        <w:jc w:val="both"/>
        <w:rPr>
          <w:rFonts w:ascii="Cambria" w:hAnsi="Cambria"/>
        </w:rPr>
      </w:pPr>
    </w:p>
    <w:sectPr w:rsidR="00A65383" w:rsidRPr="002D4C10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463A3" w14:textId="77777777" w:rsidR="00675C01" w:rsidRDefault="00675C01" w:rsidP="00675C01">
      <w:pPr>
        <w:spacing w:after="0" w:line="240" w:lineRule="auto"/>
      </w:pPr>
      <w:r>
        <w:separator/>
      </w:r>
    </w:p>
  </w:endnote>
  <w:endnote w:type="continuationSeparator" w:id="0">
    <w:p w14:paraId="21F73E30" w14:textId="77777777" w:rsidR="00675C01" w:rsidRDefault="00675C01" w:rsidP="00675C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F14EE" w14:textId="77777777" w:rsidR="00675C01" w:rsidRDefault="00675C01" w:rsidP="00675C01">
      <w:pPr>
        <w:spacing w:after="0" w:line="240" w:lineRule="auto"/>
      </w:pPr>
      <w:r>
        <w:separator/>
      </w:r>
    </w:p>
  </w:footnote>
  <w:footnote w:type="continuationSeparator" w:id="0">
    <w:p w14:paraId="25B880DE" w14:textId="77777777" w:rsidR="00675C01" w:rsidRDefault="00675C01" w:rsidP="00675C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FB417" w14:textId="5A85CE88" w:rsidR="00675C01" w:rsidRPr="00675C01" w:rsidRDefault="00675C01" w:rsidP="00675C01">
    <w:pPr>
      <w:pStyle w:val="Encabezado"/>
      <w:jc w:val="both"/>
      <w:rPr>
        <w:rFonts w:ascii="Palatino Linotype" w:hAnsi="Palatino Linotype"/>
        <w:i/>
        <w:iCs/>
      </w:rPr>
    </w:pPr>
    <w:r w:rsidRPr="00675C01">
      <w:rPr>
        <w:rFonts w:ascii="Palatino Linotype" w:hAnsi="Palatino Linotype"/>
        <w:b/>
        <w:bCs/>
        <w:i/>
        <w:iCs/>
      </w:rPr>
      <w:t xml:space="preserve">TEMA 20 - </w:t>
    </w:r>
    <w:r w:rsidRPr="00675C01">
      <w:rPr>
        <w:rFonts w:ascii="Palatino Linotype" w:hAnsi="Palatino Linotype"/>
        <w:i/>
        <w:iCs/>
      </w:rPr>
      <w:t>Inversión extranjera en España: Normativa y tramitación en España. Registro de inversiones. Análisis de flujos. Distribución por sectores y países de origen. Distribución regional. Efectos. Atracción de inversiones hacia España.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BFE"/>
    <w:multiLevelType w:val="multilevel"/>
    <w:tmpl w:val="3878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A07835"/>
    <w:multiLevelType w:val="multilevel"/>
    <w:tmpl w:val="A158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75740C"/>
    <w:multiLevelType w:val="multilevel"/>
    <w:tmpl w:val="68A6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505827"/>
    <w:multiLevelType w:val="multilevel"/>
    <w:tmpl w:val="0BD07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8B76D2"/>
    <w:multiLevelType w:val="hybridMultilevel"/>
    <w:tmpl w:val="5156EA8C"/>
    <w:lvl w:ilvl="0" w:tplc="7EA6195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550FF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BA6C5D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758FAD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E2655F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D5CCF9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C0223A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32E66A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F6834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A0973"/>
    <w:multiLevelType w:val="multilevel"/>
    <w:tmpl w:val="62C2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706A98"/>
    <w:multiLevelType w:val="multilevel"/>
    <w:tmpl w:val="5460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967116"/>
    <w:multiLevelType w:val="multilevel"/>
    <w:tmpl w:val="7146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8677EC"/>
    <w:multiLevelType w:val="multilevel"/>
    <w:tmpl w:val="C48A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3B5EAC"/>
    <w:multiLevelType w:val="multilevel"/>
    <w:tmpl w:val="7E64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2F1E0E"/>
    <w:multiLevelType w:val="multilevel"/>
    <w:tmpl w:val="50A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4D7390"/>
    <w:multiLevelType w:val="multilevel"/>
    <w:tmpl w:val="4E86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714343">
    <w:abstractNumId w:val="0"/>
  </w:num>
  <w:num w:numId="2" w16cid:durableId="1917130782">
    <w:abstractNumId w:val="9"/>
  </w:num>
  <w:num w:numId="3" w16cid:durableId="458841973">
    <w:abstractNumId w:val="3"/>
  </w:num>
  <w:num w:numId="4" w16cid:durableId="1736080538">
    <w:abstractNumId w:val="7"/>
  </w:num>
  <w:num w:numId="5" w16cid:durableId="550307338">
    <w:abstractNumId w:val="11"/>
  </w:num>
  <w:num w:numId="6" w16cid:durableId="1319729489">
    <w:abstractNumId w:val="8"/>
  </w:num>
  <w:num w:numId="7" w16cid:durableId="1711689636">
    <w:abstractNumId w:val="4"/>
  </w:num>
  <w:num w:numId="8" w16cid:durableId="1165517187">
    <w:abstractNumId w:val="10"/>
  </w:num>
  <w:num w:numId="9" w16cid:durableId="1318798712">
    <w:abstractNumId w:val="1"/>
  </w:num>
  <w:num w:numId="10" w16cid:durableId="1595168252">
    <w:abstractNumId w:val="2"/>
  </w:num>
  <w:num w:numId="11" w16cid:durableId="786200973">
    <w:abstractNumId w:val="5"/>
  </w:num>
  <w:num w:numId="12" w16cid:durableId="5404786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C01"/>
    <w:rsid w:val="002D4C10"/>
    <w:rsid w:val="00490F03"/>
    <w:rsid w:val="0049131B"/>
    <w:rsid w:val="005803BC"/>
    <w:rsid w:val="00675C01"/>
    <w:rsid w:val="009E6D29"/>
    <w:rsid w:val="00A65383"/>
    <w:rsid w:val="00A8675C"/>
    <w:rsid w:val="00BB3114"/>
    <w:rsid w:val="00C12CFD"/>
    <w:rsid w:val="00EB0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85DD8"/>
  <w15:chartTrackingRefBased/>
  <w15:docId w15:val="{66A3EB06-7A13-4EF8-B074-C3B0A926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5C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75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5C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5C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5C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5C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5C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5C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5C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75C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75C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5C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5C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5C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5C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5C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5C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5C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5C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5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5C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5C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5C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5C0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75C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5C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5C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5C0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75C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5C01"/>
  </w:style>
  <w:style w:type="paragraph" w:styleId="Piedepgina">
    <w:name w:val="footer"/>
    <w:basedOn w:val="Normal"/>
    <w:link w:val="PiedepginaCar"/>
    <w:uiPriority w:val="99"/>
    <w:unhideWhenUsed/>
    <w:rsid w:val="00675C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5C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957</Words>
  <Characters>5266</Characters>
  <Application>Microsoft Office Word</Application>
  <DocSecurity>0</DocSecurity>
  <Lines>43</Lines>
  <Paragraphs>12</Paragraphs>
  <ScaleCrop>false</ScaleCrop>
  <Company/>
  <LinksUpToDate>false</LinksUpToDate>
  <CharactersWithSpaces>6211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2025-11-21T17:35:00Z</dcterms:created>
  <dcterms:modified xsi:type="dcterms:W3CDTF">2026-01-14T14:23:00Z</dcterms:modified>
</cp:coreProperties>
</file>