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6A1C3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0898BB84" w14:textId="77777777" w:rsidR="00346A22" w:rsidRPr="00F63093" w:rsidRDefault="00346A22" w:rsidP="00F63093">
      <w:pPr>
        <w:numPr>
          <w:ilvl w:val="0"/>
          <w:numId w:val="1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Asociaciones regionales (GATT Art. 14):</w:t>
      </w:r>
    </w:p>
    <w:p w14:paraId="665E6C3A" w14:textId="77777777" w:rsidR="00346A22" w:rsidRPr="00F63093" w:rsidRDefault="00346A22" w:rsidP="00F63093">
      <w:pPr>
        <w:numPr>
          <w:ilvl w:val="1"/>
          <w:numId w:val="1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Unión Aduanera:</w:t>
      </w:r>
      <w:r w:rsidRPr="00F63093">
        <w:rPr>
          <w:rFonts w:ascii="Cambria" w:hAnsi="Cambria"/>
        </w:rPr>
        <w:t xml:space="preserve"> Sustitución de varios territorios por uno solo.</w:t>
      </w:r>
    </w:p>
    <w:p w14:paraId="4F6ACC87" w14:textId="77777777" w:rsidR="00346A22" w:rsidRPr="00F63093" w:rsidRDefault="00346A22" w:rsidP="00F63093">
      <w:pPr>
        <w:numPr>
          <w:ilvl w:val="2"/>
          <w:numId w:val="1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Eliminación de aranceles internos.</w:t>
      </w:r>
    </w:p>
    <w:p w14:paraId="4F35409E" w14:textId="77777777" w:rsidR="00346A22" w:rsidRPr="00F63093" w:rsidRDefault="00346A22" w:rsidP="00F63093">
      <w:pPr>
        <w:numPr>
          <w:ilvl w:val="2"/>
          <w:numId w:val="1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Arancel y política comercial común frente a terceros.</w:t>
      </w:r>
    </w:p>
    <w:p w14:paraId="48FCC49D" w14:textId="77777777" w:rsidR="00346A22" w:rsidRPr="00F63093" w:rsidRDefault="00346A22" w:rsidP="00F63093">
      <w:pPr>
        <w:numPr>
          <w:ilvl w:val="1"/>
          <w:numId w:val="1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Asociación de Libre Comercio:</w:t>
      </w:r>
      <w:r w:rsidRPr="00F63093">
        <w:rPr>
          <w:rFonts w:ascii="Cambria" w:hAnsi="Cambria"/>
        </w:rPr>
        <w:t xml:space="preserve"> Eliminación de aranceles internos, pero cada país mantiene su propio arancel frente a terceros (origen de mercancía determinante).</w:t>
      </w:r>
    </w:p>
    <w:p w14:paraId="240FA55C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2. Política Aduanera Comunitaria</w:t>
      </w:r>
    </w:p>
    <w:p w14:paraId="07478A99" w14:textId="77777777" w:rsidR="00346A22" w:rsidRPr="00F63093" w:rsidRDefault="00346A22" w:rsidP="00F63093">
      <w:pPr>
        <w:numPr>
          <w:ilvl w:val="0"/>
          <w:numId w:val="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Base:</w:t>
      </w:r>
      <w:r w:rsidRPr="00F63093">
        <w:rPr>
          <w:rFonts w:ascii="Cambria" w:hAnsi="Cambria"/>
        </w:rPr>
        <w:t xml:space="preserve"> Tratado de Roma (1957). Objetivo de Unión Aduanera.</w:t>
      </w:r>
    </w:p>
    <w:p w14:paraId="5E9CD0B1" w14:textId="77777777" w:rsidR="00346A22" w:rsidRPr="00F63093" w:rsidRDefault="00346A22" w:rsidP="00F63093">
      <w:pPr>
        <w:numPr>
          <w:ilvl w:val="0"/>
          <w:numId w:val="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Fases de integración:</w:t>
      </w:r>
    </w:p>
    <w:p w14:paraId="40FF1096" w14:textId="77777777" w:rsidR="00346A22" w:rsidRPr="00F63093" w:rsidRDefault="00346A22" w:rsidP="00F63093">
      <w:pPr>
        <w:numPr>
          <w:ilvl w:val="1"/>
          <w:numId w:val="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Unión Arancelaria (1968):</w:t>
      </w:r>
      <w:r w:rsidRPr="00F63093">
        <w:rPr>
          <w:rFonts w:ascii="Cambria" w:hAnsi="Cambria"/>
        </w:rPr>
        <w:t xml:space="preserve"> Arancel común exterior y supresión de derechos internos.</w:t>
      </w:r>
    </w:p>
    <w:p w14:paraId="142C0EC1" w14:textId="77777777" w:rsidR="00346A22" w:rsidRPr="00F63093" w:rsidRDefault="00346A22" w:rsidP="00F63093">
      <w:pPr>
        <w:numPr>
          <w:ilvl w:val="1"/>
          <w:numId w:val="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Armonización legislativa (1968-1993):</w:t>
      </w:r>
      <w:r w:rsidRPr="00F63093">
        <w:rPr>
          <w:rFonts w:ascii="Cambria" w:hAnsi="Cambria"/>
        </w:rPr>
        <w:t xml:space="preserve"> Necesaria para evitar distorsiones.</w:t>
      </w:r>
    </w:p>
    <w:p w14:paraId="793EC7CB" w14:textId="77777777" w:rsidR="00346A22" w:rsidRPr="00F63093" w:rsidRDefault="00346A22" w:rsidP="00F63093">
      <w:pPr>
        <w:numPr>
          <w:ilvl w:val="2"/>
          <w:numId w:val="2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 xml:space="preserve">Hito 1988: Adopción del </w:t>
      </w:r>
      <w:r w:rsidRPr="00F63093">
        <w:rPr>
          <w:rFonts w:ascii="Cambria" w:hAnsi="Cambria"/>
          <w:b/>
          <w:bCs/>
        </w:rPr>
        <w:t>Documento Único Administrativo (DUA)</w:t>
      </w:r>
      <w:r w:rsidRPr="00F63093">
        <w:rPr>
          <w:rFonts w:ascii="Cambria" w:hAnsi="Cambria"/>
        </w:rPr>
        <w:t>.</w:t>
      </w:r>
    </w:p>
    <w:p w14:paraId="7883B419" w14:textId="77777777" w:rsidR="00346A22" w:rsidRPr="00F63093" w:rsidRDefault="00346A22" w:rsidP="00F63093">
      <w:pPr>
        <w:numPr>
          <w:ilvl w:val="1"/>
          <w:numId w:val="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Mercado Único (1993):</w:t>
      </w:r>
      <w:r w:rsidRPr="00F63093">
        <w:rPr>
          <w:rFonts w:ascii="Cambria" w:hAnsi="Cambria"/>
        </w:rPr>
        <w:t xml:space="preserve"> Libre circulación total y supresión del DUA intracomunitario.</w:t>
      </w:r>
    </w:p>
    <w:p w14:paraId="6FA11EF0" w14:textId="77777777" w:rsidR="00346A22" w:rsidRPr="00F63093" w:rsidRDefault="00346A22" w:rsidP="00F63093">
      <w:pPr>
        <w:numPr>
          <w:ilvl w:val="0"/>
          <w:numId w:val="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Consolidación:</w:t>
      </w:r>
      <w:r w:rsidRPr="00F63093">
        <w:rPr>
          <w:rFonts w:ascii="Cambria" w:hAnsi="Cambria"/>
        </w:rPr>
        <w:t xml:space="preserve"> Código Aduanero Comunitario como ley fundamental.</w:t>
      </w:r>
    </w:p>
    <w:p w14:paraId="132CC0C5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3. El Código Aduanero de la Unión (CAU)</w:t>
      </w:r>
    </w:p>
    <w:p w14:paraId="36EC087A" w14:textId="77777777" w:rsidR="00346A22" w:rsidRPr="00F63093" w:rsidRDefault="00346A22" w:rsidP="00F63093">
      <w:pPr>
        <w:numPr>
          <w:ilvl w:val="0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Evolución normativa:</w:t>
      </w:r>
    </w:p>
    <w:p w14:paraId="180E1208" w14:textId="77777777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Código original: Reglamento (CEE) 2913/92.</w:t>
      </w:r>
    </w:p>
    <w:p w14:paraId="6ED66AFC" w14:textId="77777777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Modernización fallida: Reglamento (CE) 450/2008.</w:t>
      </w:r>
    </w:p>
    <w:p w14:paraId="32D33A96" w14:textId="4EB41BC7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Vigente:</w:t>
      </w:r>
      <w:r w:rsidRPr="00F63093">
        <w:rPr>
          <w:rFonts w:ascii="Cambria" w:hAnsi="Cambria"/>
        </w:rPr>
        <w:t xml:space="preserve"> </w:t>
      </w:r>
      <w:r w:rsidRPr="00F63093">
        <w:rPr>
          <w:rFonts w:ascii="Cambria" w:hAnsi="Cambria"/>
          <w:b/>
          <w:bCs/>
        </w:rPr>
        <w:t>Reglamento (UE) 952/2013</w:t>
      </w:r>
      <w:r w:rsidRPr="00F63093">
        <w:rPr>
          <w:rFonts w:ascii="Cambria" w:hAnsi="Cambria"/>
        </w:rPr>
        <w:t>. Aplicación completa desde</w:t>
      </w:r>
      <w:r w:rsidR="00C8389C" w:rsidRPr="00F63093">
        <w:rPr>
          <w:rFonts w:ascii="Cambria" w:hAnsi="Cambria"/>
        </w:rPr>
        <w:t xml:space="preserve"> </w:t>
      </w:r>
      <w:r w:rsidRPr="00F63093">
        <w:rPr>
          <w:rFonts w:ascii="Cambria" w:hAnsi="Cambria"/>
          <w:b/>
          <w:bCs/>
        </w:rPr>
        <w:t>mayo de 2016</w:t>
      </w:r>
      <w:r w:rsidRPr="00F63093">
        <w:rPr>
          <w:rFonts w:ascii="Cambria" w:hAnsi="Cambria"/>
        </w:rPr>
        <w:t xml:space="preserve"> </w:t>
      </w:r>
    </w:p>
    <w:p w14:paraId="6C7B5BD7" w14:textId="77777777" w:rsidR="00346A22" w:rsidRPr="00F63093" w:rsidRDefault="00346A22" w:rsidP="00F63093">
      <w:pPr>
        <w:numPr>
          <w:ilvl w:val="0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Principales Novedades:</w:t>
      </w:r>
    </w:p>
    <w:p w14:paraId="537F2EA8" w14:textId="4FD4AE33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Comunicaciones electrónicas obligatorias</w:t>
      </w:r>
    </w:p>
    <w:p w14:paraId="512DBE12" w14:textId="77777777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lastRenderedPageBreak/>
        <w:t>Ventanilla Única Aduanera:</w:t>
      </w:r>
      <w:r w:rsidRPr="00F63093">
        <w:rPr>
          <w:rFonts w:ascii="Cambria" w:hAnsi="Cambria"/>
        </w:rPr>
        <w:t xml:space="preserve"> Integración de trámites (Sanidad, SOIVRE, etc.).</w:t>
      </w:r>
    </w:p>
    <w:p w14:paraId="62E1869D" w14:textId="77777777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Simplificación:</w:t>
      </w:r>
      <w:r w:rsidRPr="00F63093">
        <w:rPr>
          <w:rFonts w:ascii="Cambria" w:hAnsi="Cambria"/>
        </w:rPr>
        <w:t xml:space="preserve"> Autorización centralizada (despacho en sede independientemente de la ubicación física).</w:t>
      </w:r>
    </w:p>
    <w:p w14:paraId="00F61938" w14:textId="77777777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 xml:space="preserve">Refuerzo de la figura del </w:t>
      </w:r>
      <w:r w:rsidRPr="00F63093">
        <w:rPr>
          <w:rFonts w:ascii="Cambria" w:hAnsi="Cambria"/>
          <w:b/>
          <w:bCs/>
        </w:rPr>
        <w:t>OEA</w:t>
      </w:r>
      <w:r w:rsidRPr="00F63093">
        <w:rPr>
          <w:rFonts w:ascii="Cambria" w:hAnsi="Cambria"/>
        </w:rPr>
        <w:t xml:space="preserve"> (Operador Económico Autorizado).</w:t>
      </w:r>
    </w:p>
    <w:p w14:paraId="7C322732" w14:textId="77777777" w:rsidR="00346A22" w:rsidRPr="00F63093" w:rsidRDefault="00346A22" w:rsidP="00F63093">
      <w:pPr>
        <w:numPr>
          <w:ilvl w:val="1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Reestructuración de regímenes especiales.</w:t>
      </w:r>
    </w:p>
    <w:p w14:paraId="2B16AFAA" w14:textId="77777777" w:rsidR="00346A22" w:rsidRPr="00F63093" w:rsidRDefault="00346A22" w:rsidP="00F63093">
      <w:pPr>
        <w:numPr>
          <w:ilvl w:val="0"/>
          <w:numId w:val="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Estructura (9 Títulos):</w:t>
      </w:r>
    </w:p>
    <w:p w14:paraId="205DCD93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Definiciones (Territorio aduanero).</w:t>
      </w:r>
    </w:p>
    <w:p w14:paraId="49A43873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Elementos de base (Arancel, Origen, Valor).</w:t>
      </w:r>
    </w:p>
    <w:p w14:paraId="3C166886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Deuda aduanera.</w:t>
      </w:r>
    </w:p>
    <w:p w14:paraId="42B4A0DD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Introducción de mercancías.</w:t>
      </w:r>
    </w:p>
    <w:p w14:paraId="268C235E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Estatuto y levante.</w:t>
      </w:r>
    </w:p>
    <w:p w14:paraId="693581E5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Despacho a libre práctica (mercancías de retorno, pesca).</w:t>
      </w:r>
    </w:p>
    <w:p w14:paraId="44C52999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Regímenes Especiales:</w:t>
      </w:r>
    </w:p>
    <w:p w14:paraId="5AD9B2A4" w14:textId="53DEA670" w:rsidR="00346A22" w:rsidRPr="00F63093" w:rsidRDefault="00346A22" w:rsidP="00F63093">
      <w:pPr>
        <w:numPr>
          <w:ilvl w:val="2"/>
          <w:numId w:val="17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Tránsito interno</w:t>
      </w:r>
      <w:r w:rsidR="00C8389C" w:rsidRPr="00F63093">
        <w:rPr>
          <w:rFonts w:ascii="Cambria" w:hAnsi="Cambria"/>
        </w:rPr>
        <w:t xml:space="preserve"> y </w:t>
      </w:r>
      <w:r w:rsidRPr="00F63093">
        <w:rPr>
          <w:rFonts w:ascii="Cambria" w:hAnsi="Cambria"/>
        </w:rPr>
        <w:t>externo.</w:t>
      </w:r>
    </w:p>
    <w:p w14:paraId="6CA7122B" w14:textId="79CEB1D7" w:rsidR="00346A22" w:rsidRPr="00F63093" w:rsidRDefault="00346A22" w:rsidP="00F63093">
      <w:pPr>
        <w:numPr>
          <w:ilvl w:val="2"/>
          <w:numId w:val="17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Depósito aduanero y Zonas Franca.</w:t>
      </w:r>
    </w:p>
    <w:p w14:paraId="6070FE98" w14:textId="77777777" w:rsidR="00346A22" w:rsidRPr="00F63093" w:rsidRDefault="00346A22" w:rsidP="00F63093">
      <w:pPr>
        <w:numPr>
          <w:ilvl w:val="2"/>
          <w:numId w:val="17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Destinos especiales (Importación temporal, Destino final).</w:t>
      </w:r>
    </w:p>
    <w:p w14:paraId="69E3FA89" w14:textId="313F8057" w:rsidR="00346A22" w:rsidRPr="00F63093" w:rsidRDefault="00346A22" w:rsidP="00F63093">
      <w:pPr>
        <w:numPr>
          <w:ilvl w:val="2"/>
          <w:numId w:val="17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Perfeccionamiento Activo y Pasivo.</w:t>
      </w:r>
    </w:p>
    <w:p w14:paraId="6A0F5A7E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Salida de mercancías.</w:t>
      </w:r>
    </w:p>
    <w:p w14:paraId="6A0F9639" w14:textId="77777777" w:rsidR="00346A22" w:rsidRPr="00F63093" w:rsidRDefault="00346A22" w:rsidP="00F63093">
      <w:pPr>
        <w:numPr>
          <w:ilvl w:val="1"/>
          <w:numId w:val="1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Disposiciones finales.</w:t>
      </w:r>
    </w:p>
    <w:p w14:paraId="7302EB9C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4. El Arancel de Aduanas</w:t>
      </w:r>
    </w:p>
    <w:p w14:paraId="5215B6E2" w14:textId="77777777" w:rsidR="00346A22" w:rsidRPr="00F63093" w:rsidRDefault="00346A22" w:rsidP="00F63093">
      <w:pPr>
        <w:jc w:val="both"/>
        <w:rPr>
          <w:rFonts w:ascii="Cambria" w:hAnsi="Cambria"/>
        </w:rPr>
      </w:pPr>
      <w:r w:rsidRPr="00F63093">
        <w:rPr>
          <w:rFonts w:ascii="Cambria" w:hAnsi="Cambria"/>
        </w:rPr>
        <w:t>Instrumento de protección de la producción interior mediante nomenclatura y tarifa.</w:t>
      </w:r>
    </w:p>
    <w:p w14:paraId="2615D5A5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4.1. Nomenclatura Arancelaria</w:t>
      </w:r>
    </w:p>
    <w:p w14:paraId="2EB1D0BE" w14:textId="77777777" w:rsidR="00346A22" w:rsidRPr="00F63093" w:rsidRDefault="00346A22" w:rsidP="00F63093">
      <w:pPr>
        <w:numPr>
          <w:ilvl w:val="0"/>
          <w:numId w:val="4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Evolución:</w:t>
      </w:r>
      <w:r w:rsidRPr="00F63093">
        <w:rPr>
          <w:rFonts w:ascii="Cambria" w:hAnsi="Cambria"/>
        </w:rPr>
        <w:t xml:space="preserve"> Ginebra (1937) -&gt; Bruselas (NCCA) -&gt; CUCI (ONU, fines estadísticos).</w:t>
      </w:r>
    </w:p>
    <w:p w14:paraId="76A1CC88" w14:textId="77777777" w:rsidR="00346A22" w:rsidRPr="00F63093" w:rsidRDefault="00346A22" w:rsidP="00F63093">
      <w:pPr>
        <w:numPr>
          <w:ilvl w:val="0"/>
          <w:numId w:val="4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Sistema Armonizado (SA):</w:t>
      </w:r>
      <w:r w:rsidRPr="00F63093">
        <w:rPr>
          <w:rFonts w:ascii="Cambria" w:hAnsi="Cambria"/>
        </w:rPr>
        <w:t xml:space="preserve"> Base mundial actual. Estructura de </w:t>
      </w:r>
      <w:r w:rsidRPr="00F63093">
        <w:rPr>
          <w:rFonts w:ascii="Cambria" w:hAnsi="Cambria"/>
          <w:b/>
          <w:bCs/>
        </w:rPr>
        <w:t>6 dígitos</w:t>
      </w:r>
      <w:r w:rsidRPr="00F63093">
        <w:rPr>
          <w:rFonts w:ascii="Cambria" w:hAnsi="Cambria"/>
        </w:rPr>
        <w:t xml:space="preserve"> (Capítulo, Partida, Subpartida).</w:t>
      </w:r>
    </w:p>
    <w:p w14:paraId="3830707F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4.2. Arancel Aduanero Comunitario (AAC)</w:t>
      </w:r>
    </w:p>
    <w:p w14:paraId="355891FA" w14:textId="77777777" w:rsidR="00346A22" w:rsidRPr="00F63093" w:rsidRDefault="00346A22" w:rsidP="00F63093">
      <w:pPr>
        <w:numPr>
          <w:ilvl w:val="0"/>
          <w:numId w:val="5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 xml:space="preserve">Basado en la </w:t>
      </w:r>
      <w:r w:rsidRPr="00F63093">
        <w:rPr>
          <w:rFonts w:ascii="Cambria" w:hAnsi="Cambria"/>
          <w:b/>
          <w:bCs/>
        </w:rPr>
        <w:t>Nomenclatura Combinada (NC):</w:t>
      </w:r>
    </w:p>
    <w:p w14:paraId="21E4F57F" w14:textId="77777777" w:rsidR="00346A22" w:rsidRPr="00F63093" w:rsidRDefault="00346A22" w:rsidP="00F63093">
      <w:pPr>
        <w:numPr>
          <w:ilvl w:val="1"/>
          <w:numId w:val="5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lastRenderedPageBreak/>
        <w:t xml:space="preserve">SA (6 dígitos) + 2 dígitos comunitarios (Total </w:t>
      </w:r>
      <w:r w:rsidRPr="00F63093">
        <w:rPr>
          <w:rFonts w:ascii="Cambria" w:hAnsi="Cambria"/>
          <w:b/>
          <w:bCs/>
        </w:rPr>
        <w:t>8 dígitos</w:t>
      </w:r>
      <w:r w:rsidRPr="00F63093">
        <w:rPr>
          <w:rFonts w:ascii="Cambria" w:hAnsi="Cambria"/>
        </w:rPr>
        <w:t>).</w:t>
      </w:r>
    </w:p>
    <w:p w14:paraId="67AABC29" w14:textId="77777777" w:rsidR="00346A22" w:rsidRPr="00F63093" w:rsidRDefault="00346A22" w:rsidP="00F63093">
      <w:pPr>
        <w:numPr>
          <w:ilvl w:val="1"/>
          <w:numId w:val="5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Combina fin aduanero y estadístico.</w:t>
      </w:r>
    </w:p>
    <w:p w14:paraId="1C01657C" w14:textId="77777777" w:rsidR="00346A22" w:rsidRPr="00F63093" w:rsidRDefault="00346A22" w:rsidP="00F63093">
      <w:pPr>
        <w:numPr>
          <w:ilvl w:val="0"/>
          <w:numId w:val="5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Tipos de Derechos:</w:t>
      </w:r>
    </w:p>
    <w:p w14:paraId="7C9F11CC" w14:textId="77777777" w:rsidR="00346A22" w:rsidRPr="00F63093" w:rsidRDefault="00346A22" w:rsidP="00F63093">
      <w:pPr>
        <w:numPr>
          <w:ilvl w:val="1"/>
          <w:numId w:val="5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Autónomos (Países no OMC).</w:t>
      </w:r>
    </w:p>
    <w:p w14:paraId="7D7AB172" w14:textId="77777777" w:rsidR="00346A22" w:rsidRPr="00F63093" w:rsidRDefault="00346A22" w:rsidP="00F63093">
      <w:pPr>
        <w:numPr>
          <w:ilvl w:val="1"/>
          <w:numId w:val="5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Convencionales (Países OMC, consolidados).</w:t>
      </w:r>
    </w:p>
    <w:p w14:paraId="66F669CF" w14:textId="77777777" w:rsidR="00346A22" w:rsidRPr="00F63093" w:rsidRDefault="00346A22" w:rsidP="00F63093">
      <w:pPr>
        <w:numPr>
          <w:ilvl w:val="0"/>
          <w:numId w:val="5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Recaudación:</w:t>
      </w:r>
      <w:r w:rsidRPr="00F63093">
        <w:rPr>
          <w:rFonts w:ascii="Cambria" w:hAnsi="Cambria"/>
        </w:rPr>
        <w:t xml:space="preserve"> Recursos propios de la UE (EEMM retienen 20% por gestión).</w:t>
      </w:r>
    </w:p>
    <w:p w14:paraId="16460CBC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4.3. Arancel Integrado Comunitario (TARIC)</w:t>
      </w:r>
    </w:p>
    <w:p w14:paraId="1863364E" w14:textId="77777777" w:rsidR="00346A22" w:rsidRPr="00F63093" w:rsidRDefault="00346A22" w:rsidP="00F63093">
      <w:pPr>
        <w:numPr>
          <w:ilvl w:val="0"/>
          <w:numId w:val="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Instrumento de gestión que recoge toda la normativa comercial y arancelaria.</w:t>
      </w:r>
    </w:p>
    <w:p w14:paraId="3127160B" w14:textId="77777777" w:rsidR="00346A22" w:rsidRPr="00F63093" w:rsidRDefault="00346A22" w:rsidP="00F63093">
      <w:pPr>
        <w:numPr>
          <w:ilvl w:val="0"/>
          <w:numId w:val="6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Código:</w:t>
      </w:r>
      <w:r w:rsidRPr="00F63093">
        <w:rPr>
          <w:rFonts w:ascii="Cambria" w:hAnsi="Cambria"/>
        </w:rPr>
        <w:t xml:space="preserve"> 10 dígitos (NC + 2 dígitos TARIC) ampliables para medidas específicas.</w:t>
      </w:r>
    </w:p>
    <w:p w14:paraId="43857751" w14:textId="77777777" w:rsidR="00346A22" w:rsidRPr="00F63093" w:rsidRDefault="00346A22" w:rsidP="00F63093">
      <w:pPr>
        <w:numPr>
          <w:ilvl w:val="0"/>
          <w:numId w:val="6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Incluye: Suspensiones, antidumping, preferencias, prohibiciones, etc.</w:t>
      </w:r>
    </w:p>
    <w:p w14:paraId="723F37AA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4.4. La Tarifa (Tipos de Gravamen)</w:t>
      </w:r>
    </w:p>
    <w:p w14:paraId="7E475B68" w14:textId="77777777" w:rsidR="00346A22" w:rsidRPr="00F63093" w:rsidRDefault="00346A22" w:rsidP="00F63093">
      <w:pPr>
        <w:numPr>
          <w:ilvl w:val="0"/>
          <w:numId w:val="7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 xml:space="preserve">Ad </w:t>
      </w:r>
      <w:proofErr w:type="spellStart"/>
      <w:r w:rsidRPr="00F63093">
        <w:rPr>
          <w:rFonts w:ascii="Cambria" w:hAnsi="Cambria"/>
          <w:b/>
          <w:bCs/>
        </w:rPr>
        <w:t>valorem</w:t>
      </w:r>
      <w:proofErr w:type="spellEnd"/>
      <w:r w:rsidRPr="00F63093">
        <w:rPr>
          <w:rFonts w:ascii="Cambria" w:hAnsi="Cambria"/>
          <w:b/>
          <w:bCs/>
        </w:rPr>
        <w:t>:</w:t>
      </w:r>
      <w:r w:rsidRPr="00F63093">
        <w:rPr>
          <w:rFonts w:ascii="Cambria" w:hAnsi="Cambria"/>
        </w:rPr>
        <w:t xml:space="preserve"> Porcentaje sobre el valor (más frecuente, media 5% en manufacturas).</w:t>
      </w:r>
    </w:p>
    <w:p w14:paraId="128A9F4B" w14:textId="77777777" w:rsidR="00346A22" w:rsidRPr="00F63093" w:rsidRDefault="00346A22" w:rsidP="00F63093">
      <w:pPr>
        <w:numPr>
          <w:ilvl w:val="0"/>
          <w:numId w:val="7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Específicos:</w:t>
      </w:r>
      <w:r w:rsidRPr="00F63093">
        <w:rPr>
          <w:rFonts w:ascii="Cambria" w:hAnsi="Cambria"/>
        </w:rPr>
        <w:t xml:space="preserve"> Cantidad monetaria por unidad física.</w:t>
      </w:r>
    </w:p>
    <w:p w14:paraId="6B0DB31F" w14:textId="65F0CBDB" w:rsidR="00346A22" w:rsidRPr="00F63093" w:rsidRDefault="00346A22" w:rsidP="00F63093">
      <w:pPr>
        <w:numPr>
          <w:ilvl w:val="0"/>
          <w:numId w:val="7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Mixtos:</w:t>
      </w:r>
      <w:r w:rsidRPr="00F63093">
        <w:rPr>
          <w:rFonts w:ascii="Cambria" w:hAnsi="Cambria"/>
        </w:rPr>
        <w:t xml:space="preserve"> Ad </w:t>
      </w:r>
      <w:proofErr w:type="spellStart"/>
      <w:r w:rsidRPr="00F63093">
        <w:rPr>
          <w:rFonts w:ascii="Cambria" w:hAnsi="Cambria"/>
        </w:rPr>
        <w:t>valorem</w:t>
      </w:r>
      <w:proofErr w:type="spellEnd"/>
      <w:r w:rsidRPr="00F63093">
        <w:rPr>
          <w:rFonts w:ascii="Cambria" w:hAnsi="Cambria"/>
        </w:rPr>
        <w:t xml:space="preserve"> + Específico.</w:t>
      </w:r>
    </w:p>
    <w:p w14:paraId="079D92EB" w14:textId="77777777" w:rsidR="00346A22" w:rsidRPr="00F63093" w:rsidRDefault="00346A22" w:rsidP="00F63093">
      <w:pPr>
        <w:numPr>
          <w:ilvl w:val="0"/>
          <w:numId w:val="7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Compuestos:</w:t>
      </w:r>
      <w:r w:rsidRPr="00F63093">
        <w:rPr>
          <w:rFonts w:ascii="Cambria" w:hAnsi="Cambria"/>
        </w:rPr>
        <w:t xml:space="preserve"> Ad </w:t>
      </w:r>
      <w:proofErr w:type="spellStart"/>
      <w:r w:rsidRPr="00F63093">
        <w:rPr>
          <w:rFonts w:ascii="Cambria" w:hAnsi="Cambria"/>
        </w:rPr>
        <w:t>valorem</w:t>
      </w:r>
      <w:proofErr w:type="spellEnd"/>
      <w:r w:rsidRPr="00F63093">
        <w:rPr>
          <w:rFonts w:ascii="Cambria" w:hAnsi="Cambria"/>
        </w:rPr>
        <w:t xml:space="preserve"> con límites máximos/mínimos específicos.</w:t>
      </w:r>
    </w:p>
    <w:p w14:paraId="4319EF27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5. La Economía Arancelaria</w:t>
      </w:r>
    </w:p>
    <w:p w14:paraId="54F88455" w14:textId="77777777" w:rsidR="00346A22" w:rsidRPr="00F63093" w:rsidRDefault="00346A22" w:rsidP="00F63093">
      <w:pPr>
        <w:jc w:val="both"/>
        <w:rPr>
          <w:rFonts w:ascii="Cambria" w:hAnsi="Cambria"/>
        </w:rPr>
      </w:pPr>
      <w:r w:rsidRPr="00F63093">
        <w:rPr>
          <w:rFonts w:ascii="Cambria" w:hAnsi="Cambria"/>
        </w:rPr>
        <w:t>Medidas de flexibilización o corrección del arancel.</w:t>
      </w:r>
    </w:p>
    <w:p w14:paraId="5CF99090" w14:textId="005814EB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5.1. Técnicas de flexibilización</w:t>
      </w:r>
    </w:p>
    <w:p w14:paraId="6D2BBC6D" w14:textId="77777777" w:rsidR="00346A22" w:rsidRPr="00F63093" w:rsidRDefault="00346A22" w:rsidP="00F63093">
      <w:pPr>
        <w:numPr>
          <w:ilvl w:val="0"/>
          <w:numId w:val="8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Franquicias aduaneras:</w:t>
      </w:r>
      <w:r w:rsidRPr="00F63093">
        <w:rPr>
          <w:rFonts w:ascii="Cambria" w:hAnsi="Cambria"/>
        </w:rPr>
        <w:t xml:space="preserve"> Exención permanente por la naturaleza o fin de la mercancía (muestras, viajeros, fines filantrópicos).</w:t>
      </w:r>
    </w:p>
    <w:p w14:paraId="41E892D1" w14:textId="257E18C1" w:rsidR="00346A22" w:rsidRPr="00F63093" w:rsidRDefault="00346A22" w:rsidP="00F63093">
      <w:pPr>
        <w:numPr>
          <w:ilvl w:val="0"/>
          <w:numId w:val="8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Destinos específicos:</w:t>
      </w:r>
      <w:r w:rsidRPr="00F63093">
        <w:rPr>
          <w:rFonts w:ascii="Cambria" w:hAnsi="Cambria"/>
        </w:rPr>
        <w:t xml:space="preserve"> Reducción de derechos condicionada al uso final del producto (requiere autorización).</w:t>
      </w:r>
    </w:p>
    <w:p w14:paraId="12552116" w14:textId="77777777" w:rsidR="00346A22" w:rsidRPr="00F63093" w:rsidRDefault="00346A22" w:rsidP="00F63093">
      <w:pPr>
        <w:numPr>
          <w:ilvl w:val="0"/>
          <w:numId w:val="8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Suspensiones:</w:t>
      </w:r>
      <w:r w:rsidRPr="00F63093">
        <w:rPr>
          <w:rFonts w:ascii="Cambria" w:hAnsi="Cambria"/>
        </w:rPr>
        <w:t xml:space="preserve"> Supresión temporal de aranceles por inexistencia de producción comunitaria (sin límite de cantidad).</w:t>
      </w:r>
    </w:p>
    <w:p w14:paraId="66E31591" w14:textId="77777777" w:rsidR="00346A22" w:rsidRPr="00F63093" w:rsidRDefault="00346A22" w:rsidP="00F63093">
      <w:pPr>
        <w:numPr>
          <w:ilvl w:val="1"/>
          <w:numId w:val="8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Autónomas (decisión UE) o Convencionales (acuerdos).</w:t>
      </w:r>
    </w:p>
    <w:p w14:paraId="30BF4DF1" w14:textId="77777777" w:rsidR="00346A22" w:rsidRPr="00F63093" w:rsidRDefault="00346A22" w:rsidP="00F63093">
      <w:pPr>
        <w:numPr>
          <w:ilvl w:val="0"/>
          <w:numId w:val="8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Contingentes arancelarios:</w:t>
      </w:r>
      <w:r w:rsidRPr="00F63093">
        <w:rPr>
          <w:rFonts w:ascii="Cambria" w:hAnsi="Cambria"/>
        </w:rPr>
        <w:t xml:space="preserve"> Arancel reducido/nulo para un volumen limitado de mercancía (insuficiencia de producción). Arancel normal al superar el cupo.</w:t>
      </w:r>
    </w:p>
    <w:p w14:paraId="361DF077" w14:textId="77777777" w:rsidR="00346A22" w:rsidRPr="00F63093" w:rsidRDefault="00346A22" w:rsidP="00F63093">
      <w:pPr>
        <w:numPr>
          <w:ilvl w:val="0"/>
          <w:numId w:val="8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lastRenderedPageBreak/>
        <w:t>Límites máximos arancelarios:</w:t>
      </w:r>
      <w:r w:rsidRPr="00F63093">
        <w:rPr>
          <w:rFonts w:ascii="Cambria" w:hAnsi="Cambria"/>
        </w:rPr>
        <w:t xml:space="preserve"> Variación de los contingentes (habitual en SPG). Si se rebasa, la vuelta al arancel normal no es automática, requiere Reglamento.</w:t>
      </w:r>
    </w:p>
    <w:p w14:paraId="359EDDDF" w14:textId="3B0A4883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5.2. Medidas de retorsión</w:t>
      </w:r>
    </w:p>
    <w:p w14:paraId="2AB28948" w14:textId="77777777" w:rsidR="00346A22" w:rsidRPr="00F63093" w:rsidRDefault="00346A22" w:rsidP="00F63093">
      <w:pPr>
        <w:numPr>
          <w:ilvl w:val="0"/>
          <w:numId w:val="9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Derechos Antidumping:</w:t>
      </w:r>
      <w:r w:rsidRPr="00F63093">
        <w:rPr>
          <w:rFonts w:ascii="Cambria" w:hAnsi="Cambria"/>
        </w:rPr>
        <w:t xml:space="preserve"> Compensan el daño por importaciones a precios inferiores al valor normal en origen.</w:t>
      </w:r>
    </w:p>
    <w:p w14:paraId="1E495DC2" w14:textId="77777777" w:rsidR="00346A22" w:rsidRPr="00F63093" w:rsidRDefault="00346A22" w:rsidP="00F63093">
      <w:pPr>
        <w:numPr>
          <w:ilvl w:val="0"/>
          <w:numId w:val="9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 xml:space="preserve">Derechos </w:t>
      </w:r>
      <w:proofErr w:type="spellStart"/>
      <w:r w:rsidRPr="00F63093">
        <w:rPr>
          <w:rFonts w:ascii="Cambria" w:hAnsi="Cambria"/>
          <w:b/>
          <w:bCs/>
        </w:rPr>
        <w:t>Anti-subvención</w:t>
      </w:r>
      <w:proofErr w:type="spellEnd"/>
      <w:r w:rsidRPr="00F63093">
        <w:rPr>
          <w:rFonts w:ascii="Cambria" w:hAnsi="Cambria"/>
          <w:b/>
          <w:bCs/>
        </w:rPr>
        <w:t>:</w:t>
      </w:r>
      <w:r w:rsidRPr="00F63093">
        <w:rPr>
          <w:rFonts w:ascii="Cambria" w:hAnsi="Cambria"/>
        </w:rPr>
        <w:t xml:space="preserve"> Compensan ayudas públicas en el país de origen.</w:t>
      </w:r>
    </w:p>
    <w:p w14:paraId="7F9EA3B4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6. Origen de las Mercancías</w:t>
      </w:r>
    </w:p>
    <w:p w14:paraId="03FB347E" w14:textId="77777777" w:rsidR="00346A22" w:rsidRPr="00F63093" w:rsidRDefault="00346A22" w:rsidP="00F63093">
      <w:pPr>
        <w:jc w:val="both"/>
        <w:rPr>
          <w:rFonts w:ascii="Cambria" w:hAnsi="Cambria"/>
        </w:rPr>
      </w:pPr>
      <w:r w:rsidRPr="00F63093">
        <w:rPr>
          <w:rFonts w:ascii="Cambria" w:hAnsi="Cambria"/>
        </w:rPr>
        <w:t>Vínculo geográfico que determina el tratamiento arancelario y medidas de política comercial.</w:t>
      </w:r>
    </w:p>
    <w:p w14:paraId="5719823D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6.1. Criterios de determinación</w:t>
      </w:r>
    </w:p>
    <w:p w14:paraId="08A64E68" w14:textId="77777777" w:rsidR="00346A22" w:rsidRPr="00F63093" w:rsidRDefault="00346A22" w:rsidP="00F63093">
      <w:pPr>
        <w:numPr>
          <w:ilvl w:val="0"/>
          <w:numId w:val="10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Mercancías enteramente obtenidas:</w:t>
      </w:r>
      <w:r w:rsidRPr="00F63093">
        <w:rPr>
          <w:rFonts w:ascii="Cambria" w:hAnsi="Cambria"/>
        </w:rPr>
        <w:t xml:space="preserve"> Un solo país.</w:t>
      </w:r>
    </w:p>
    <w:p w14:paraId="6F1AA300" w14:textId="77777777" w:rsidR="00346A22" w:rsidRPr="00F63093" w:rsidRDefault="00346A22" w:rsidP="00F63093">
      <w:pPr>
        <w:numPr>
          <w:ilvl w:val="0"/>
          <w:numId w:val="10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Transformación sustancial:</w:t>
      </w:r>
      <w:r w:rsidRPr="00F63093">
        <w:rPr>
          <w:rFonts w:ascii="Cambria" w:hAnsi="Cambria"/>
        </w:rPr>
        <w:t xml:space="preserve"> Más de un país interviniente.</w:t>
      </w:r>
    </w:p>
    <w:p w14:paraId="6BEC322E" w14:textId="77777777" w:rsidR="00346A22" w:rsidRPr="00F63093" w:rsidRDefault="00346A22" w:rsidP="00F63093">
      <w:pPr>
        <w:numPr>
          <w:ilvl w:val="1"/>
          <w:numId w:val="10"/>
        </w:numPr>
        <w:jc w:val="both"/>
        <w:rPr>
          <w:rFonts w:ascii="Cambria" w:hAnsi="Cambria"/>
        </w:rPr>
      </w:pPr>
      <w:r w:rsidRPr="00F63093">
        <w:rPr>
          <w:rFonts w:ascii="Cambria" w:hAnsi="Cambria"/>
          <w:i/>
          <w:iCs/>
        </w:rPr>
        <w:t>Métodos:</w:t>
      </w:r>
      <w:r w:rsidRPr="00F63093">
        <w:rPr>
          <w:rFonts w:ascii="Cambria" w:hAnsi="Cambria"/>
        </w:rPr>
        <w:t xml:space="preserve"> Cambio de partida, lista de transformaciones específicas o porcentaje de valor añadido (límite de materia no originaria, aprox. 40%).</w:t>
      </w:r>
    </w:p>
    <w:p w14:paraId="5F4E003A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6.2. Origen No Preferencial</w:t>
      </w:r>
    </w:p>
    <w:p w14:paraId="4E6B921A" w14:textId="3B9CAE5B" w:rsidR="00346A22" w:rsidRPr="00F63093" w:rsidRDefault="00346A22" w:rsidP="00F63093">
      <w:pPr>
        <w:numPr>
          <w:ilvl w:val="0"/>
          <w:numId w:val="11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Regula el acceso genera</w:t>
      </w:r>
      <w:r w:rsidR="00C8389C" w:rsidRPr="00F63093">
        <w:rPr>
          <w:rFonts w:ascii="Cambria" w:hAnsi="Cambria"/>
        </w:rPr>
        <w:t>l</w:t>
      </w:r>
      <w:r w:rsidRPr="00F63093">
        <w:rPr>
          <w:rFonts w:ascii="Cambria" w:hAnsi="Cambria"/>
        </w:rPr>
        <w:t>.</w:t>
      </w:r>
    </w:p>
    <w:p w14:paraId="0FD0D1E8" w14:textId="77777777" w:rsidR="00346A22" w:rsidRPr="00F63093" w:rsidRDefault="00346A22" w:rsidP="00F63093">
      <w:pPr>
        <w:numPr>
          <w:ilvl w:val="0"/>
          <w:numId w:val="11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Criterio: Última transformación sustancial, económicamente justificada, en empresa equipada, que resulte en producto nuevo o fase importante.</w:t>
      </w:r>
    </w:p>
    <w:p w14:paraId="59115851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6.3. Origen Preferencial</w:t>
      </w:r>
    </w:p>
    <w:p w14:paraId="09760D9F" w14:textId="21948E82" w:rsidR="00346A22" w:rsidRPr="00F63093" w:rsidRDefault="00346A22" w:rsidP="00F63093">
      <w:pPr>
        <w:numPr>
          <w:ilvl w:val="0"/>
          <w:numId w:val="12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Para países con acuerdos o SPG</w:t>
      </w:r>
      <w:r w:rsidR="00C8389C" w:rsidRPr="00F63093">
        <w:rPr>
          <w:rFonts w:ascii="Cambria" w:hAnsi="Cambria"/>
        </w:rPr>
        <w:t>.</w:t>
      </w:r>
    </w:p>
    <w:p w14:paraId="10F53959" w14:textId="77777777" w:rsidR="00346A22" w:rsidRPr="00F63093" w:rsidRDefault="00346A22" w:rsidP="00F63093">
      <w:pPr>
        <w:numPr>
          <w:ilvl w:val="0"/>
          <w:numId w:val="1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Acumulación de origen:</w:t>
      </w:r>
      <w:r w:rsidRPr="00F63093">
        <w:rPr>
          <w:rFonts w:ascii="Cambria" w:hAnsi="Cambria"/>
        </w:rPr>
        <w:t xml:space="preserve"> Permite considerar originarias materias de otros países del grupo.</w:t>
      </w:r>
    </w:p>
    <w:p w14:paraId="2AA5C1BB" w14:textId="77777777" w:rsidR="00346A22" w:rsidRPr="00F63093" w:rsidRDefault="00346A22" w:rsidP="00F63093">
      <w:pPr>
        <w:numPr>
          <w:ilvl w:val="1"/>
          <w:numId w:val="12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Bilateral, Multilateral Total o Diagonal (ej. Pan-</w:t>
      </w:r>
      <w:proofErr w:type="spellStart"/>
      <w:r w:rsidRPr="00F63093">
        <w:rPr>
          <w:rFonts w:ascii="Cambria" w:hAnsi="Cambria"/>
        </w:rPr>
        <w:t>euromediterránea</w:t>
      </w:r>
      <w:proofErr w:type="spellEnd"/>
      <w:r w:rsidRPr="00F63093">
        <w:rPr>
          <w:rFonts w:ascii="Cambria" w:hAnsi="Cambria"/>
        </w:rPr>
        <w:t>).</w:t>
      </w:r>
    </w:p>
    <w:p w14:paraId="3405F7D4" w14:textId="77777777" w:rsidR="00346A22" w:rsidRPr="00F63093" w:rsidRDefault="00346A22" w:rsidP="00F63093">
      <w:pPr>
        <w:numPr>
          <w:ilvl w:val="0"/>
          <w:numId w:val="12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Documentos justificativos:</w:t>
      </w:r>
      <w:r w:rsidRPr="00F63093">
        <w:rPr>
          <w:rFonts w:ascii="Cambria" w:hAnsi="Cambria"/>
        </w:rPr>
        <w:t xml:space="preserve"> Certificados de circulación EUR-1 / EUR-2 (Acuerdos), ATR-1 (Turquía), FORM A (SPG).</w:t>
      </w:r>
    </w:p>
    <w:p w14:paraId="64015223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7. El Valor en Aduana</w:t>
      </w:r>
    </w:p>
    <w:p w14:paraId="21B8E58E" w14:textId="77777777" w:rsidR="00346A22" w:rsidRPr="00F63093" w:rsidRDefault="00346A22" w:rsidP="00F63093">
      <w:pPr>
        <w:jc w:val="both"/>
        <w:rPr>
          <w:rFonts w:ascii="Cambria" w:hAnsi="Cambria"/>
        </w:rPr>
      </w:pPr>
      <w:r w:rsidRPr="00F63093">
        <w:rPr>
          <w:rFonts w:ascii="Cambria" w:hAnsi="Cambria"/>
        </w:rPr>
        <w:t xml:space="preserve">Base imponible para el cálculo de derechos ad </w:t>
      </w:r>
      <w:proofErr w:type="spellStart"/>
      <w:r w:rsidRPr="00F63093">
        <w:rPr>
          <w:rFonts w:ascii="Cambria" w:hAnsi="Cambria"/>
        </w:rPr>
        <w:t>valorem</w:t>
      </w:r>
      <w:proofErr w:type="spellEnd"/>
      <w:r w:rsidRPr="00F63093">
        <w:rPr>
          <w:rFonts w:ascii="Cambria" w:hAnsi="Cambria"/>
        </w:rPr>
        <w:t>. Se declara mediante formulario DV1.</w:t>
      </w:r>
    </w:p>
    <w:p w14:paraId="4D4B2E16" w14:textId="77777777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lastRenderedPageBreak/>
        <w:t>7.1. Método Principal: Valor de Transacción</w:t>
      </w:r>
    </w:p>
    <w:p w14:paraId="5833CFFE" w14:textId="77777777" w:rsidR="00346A22" w:rsidRPr="00F63093" w:rsidRDefault="00346A22" w:rsidP="00F63093">
      <w:pPr>
        <w:numPr>
          <w:ilvl w:val="0"/>
          <w:numId w:val="13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Precio realmente pagado o por pagar por las mercancías vendidas para exportación a la UE.</w:t>
      </w:r>
    </w:p>
    <w:p w14:paraId="56BF207C" w14:textId="77777777" w:rsidR="00346A22" w:rsidRPr="00F63093" w:rsidRDefault="00346A22" w:rsidP="00F63093">
      <w:pPr>
        <w:numPr>
          <w:ilvl w:val="0"/>
          <w:numId w:val="1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Ajustes:</w:t>
      </w:r>
      <w:r w:rsidRPr="00F63093">
        <w:rPr>
          <w:rFonts w:ascii="Cambria" w:hAnsi="Cambria"/>
        </w:rPr>
        <w:t xml:space="preserve"> Se suman o restan elementos (ej. transporte, seguro, cánones).</w:t>
      </w:r>
    </w:p>
    <w:p w14:paraId="7D4E0D62" w14:textId="77777777" w:rsidR="00346A22" w:rsidRPr="00F63093" w:rsidRDefault="00346A22" w:rsidP="00F63093">
      <w:pPr>
        <w:numPr>
          <w:ilvl w:val="0"/>
          <w:numId w:val="13"/>
        </w:numPr>
        <w:jc w:val="both"/>
        <w:rPr>
          <w:rFonts w:ascii="Cambria" w:hAnsi="Cambria"/>
        </w:rPr>
      </w:pPr>
      <w:r w:rsidRPr="00F63093">
        <w:rPr>
          <w:rFonts w:ascii="Cambria" w:hAnsi="Cambria"/>
          <w:b/>
          <w:bCs/>
        </w:rPr>
        <w:t>Condiciones:</w:t>
      </w:r>
      <w:r w:rsidRPr="00F63093">
        <w:rPr>
          <w:rFonts w:ascii="Cambria" w:hAnsi="Cambria"/>
        </w:rPr>
        <w:t xml:space="preserve"> Venta real, sin restricciones de uso, sin vinculación que afecte al precio.</w:t>
      </w:r>
    </w:p>
    <w:p w14:paraId="36646EB9" w14:textId="004EE689" w:rsidR="00346A22" w:rsidRPr="00F63093" w:rsidRDefault="00346A22" w:rsidP="00F6309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63093">
        <w:rPr>
          <w:rFonts w:ascii="Cambria" w:hAnsi="Cambria"/>
          <w:b/>
          <w:bCs/>
          <w:color w:val="auto"/>
          <w:sz w:val="24"/>
          <w:szCs w:val="24"/>
        </w:rPr>
        <w:t>7.2. Métodos Secundarios</w:t>
      </w:r>
    </w:p>
    <w:p w14:paraId="45F88E71" w14:textId="77777777" w:rsidR="00346A22" w:rsidRPr="00F63093" w:rsidRDefault="00346A22" w:rsidP="00F63093">
      <w:pPr>
        <w:jc w:val="both"/>
        <w:rPr>
          <w:rFonts w:ascii="Cambria" w:hAnsi="Cambria"/>
        </w:rPr>
      </w:pPr>
      <w:r w:rsidRPr="00F63093">
        <w:rPr>
          <w:rFonts w:ascii="Cambria" w:hAnsi="Cambria"/>
        </w:rPr>
        <w:t>Si se rechaza el valor de transacción, se aplica en orden:</w:t>
      </w:r>
    </w:p>
    <w:p w14:paraId="6B7D59B8" w14:textId="77777777" w:rsidR="00346A22" w:rsidRPr="00F63093" w:rsidRDefault="00346A22" w:rsidP="00F63093">
      <w:pPr>
        <w:numPr>
          <w:ilvl w:val="0"/>
          <w:numId w:val="14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Valor de transacción de mercancías idénticas.</w:t>
      </w:r>
    </w:p>
    <w:p w14:paraId="42E7CB6C" w14:textId="77777777" w:rsidR="00346A22" w:rsidRPr="00F63093" w:rsidRDefault="00346A22" w:rsidP="00F63093">
      <w:pPr>
        <w:numPr>
          <w:ilvl w:val="0"/>
          <w:numId w:val="14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Valor de transacción de mercancías similares.</w:t>
      </w:r>
    </w:p>
    <w:p w14:paraId="5173D782" w14:textId="77777777" w:rsidR="00346A22" w:rsidRPr="00F63093" w:rsidRDefault="00346A22" w:rsidP="00F63093">
      <w:pPr>
        <w:numPr>
          <w:ilvl w:val="0"/>
          <w:numId w:val="14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Procedimiento deductivo (basado en precio unitario de venta en UE).</w:t>
      </w:r>
    </w:p>
    <w:p w14:paraId="641F77EE" w14:textId="77777777" w:rsidR="00346A22" w:rsidRPr="00F63093" w:rsidRDefault="00346A22" w:rsidP="00F63093">
      <w:pPr>
        <w:numPr>
          <w:ilvl w:val="0"/>
          <w:numId w:val="14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Procedimiento del valor calculado (coste de producción).</w:t>
      </w:r>
    </w:p>
    <w:p w14:paraId="2648E045" w14:textId="77777777" w:rsidR="00346A22" w:rsidRPr="00F63093" w:rsidRDefault="00346A22" w:rsidP="00F63093">
      <w:pPr>
        <w:numPr>
          <w:ilvl w:val="0"/>
          <w:numId w:val="14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Procedimiento de último recurso (criterios razonables).</w:t>
      </w:r>
    </w:p>
    <w:p w14:paraId="54D085BD" w14:textId="77777777" w:rsidR="00346A22" w:rsidRPr="00F63093" w:rsidRDefault="00346A22" w:rsidP="00F6309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63093">
        <w:rPr>
          <w:rFonts w:ascii="Cambria" w:hAnsi="Cambria"/>
          <w:b/>
          <w:bCs/>
          <w:color w:val="auto"/>
          <w:sz w:val="28"/>
          <w:szCs w:val="28"/>
        </w:rPr>
        <w:t>8. Conclusión</w:t>
      </w:r>
    </w:p>
    <w:p w14:paraId="5EA79939" w14:textId="77777777" w:rsidR="00346A22" w:rsidRPr="00F63093" w:rsidRDefault="00346A22" w:rsidP="00F63093">
      <w:pPr>
        <w:numPr>
          <w:ilvl w:val="0"/>
          <w:numId w:val="15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Importancia clave del Arancel Común como protección exterior única.</w:t>
      </w:r>
    </w:p>
    <w:p w14:paraId="5EADF952" w14:textId="77777777" w:rsidR="00346A22" w:rsidRPr="00F63093" w:rsidRDefault="00346A22" w:rsidP="00F63093">
      <w:pPr>
        <w:numPr>
          <w:ilvl w:val="0"/>
          <w:numId w:val="15"/>
        </w:numPr>
        <w:jc w:val="both"/>
        <w:rPr>
          <w:rFonts w:ascii="Cambria" w:hAnsi="Cambria"/>
        </w:rPr>
      </w:pPr>
      <w:r w:rsidRPr="00F63093">
        <w:rPr>
          <w:rFonts w:ascii="Cambria" w:hAnsi="Cambria"/>
        </w:rPr>
        <w:t>Contexto Brexit: Nueva relación de Unión Aduanera UE-27 con Reino Unido, con un volumen comercial significativo (Ventas UE: 530.000 M€; Ventas UK: 360.000 M€).</w:t>
      </w:r>
    </w:p>
    <w:p w14:paraId="6C5E8A1C" w14:textId="77777777" w:rsidR="00A65383" w:rsidRPr="00F63093" w:rsidRDefault="00A65383" w:rsidP="00F63093">
      <w:pPr>
        <w:jc w:val="both"/>
        <w:rPr>
          <w:rFonts w:ascii="Cambria" w:hAnsi="Cambria"/>
        </w:rPr>
      </w:pPr>
    </w:p>
    <w:sectPr w:rsidR="00A65383" w:rsidRPr="00F63093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66273" w14:textId="77777777" w:rsidR="00346A22" w:rsidRDefault="00346A22" w:rsidP="00346A22">
      <w:pPr>
        <w:spacing w:after="0" w:line="240" w:lineRule="auto"/>
      </w:pPr>
      <w:r>
        <w:separator/>
      </w:r>
    </w:p>
  </w:endnote>
  <w:endnote w:type="continuationSeparator" w:id="0">
    <w:p w14:paraId="1FF16341" w14:textId="77777777" w:rsidR="00346A22" w:rsidRDefault="00346A22" w:rsidP="00346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7D0FB" w14:textId="77777777" w:rsidR="00346A22" w:rsidRDefault="00346A22" w:rsidP="00346A22">
      <w:pPr>
        <w:spacing w:after="0" w:line="240" w:lineRule="auto"/>
      </w:pPr>
      <w:r>
        <w:separator/>
      </w:r>
    </w:p>
  </w:footnote>
  <w:footnote w:type="continuationSeparator" w:id="0">
    <w:p w14:paraId="7EB36EF2" w14:textId="77777777" w:rsidR="00346A22" w:rsidRDefault="00346A22" w:rsidP="00346A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F7BDC" w14:textId="211817C5" w:rsidR="00346A22" w:rsidRPr="00346A22" w:rsidRDefault="00346A22" w:rsidP="00346A22">
    <w:pPr>
      <w:pStyle w:val="Encabezado"/>
      <w:jc w:val="both"/>
      <w:rPr>
        <w:rFonts w:ascii="Palatino Linotype" w:hAnsi="Palatino Linotype"/>
        <w:i/>
        <w:iCs/>
      </w:rPr>
    </w:pPr>
    <w:r w:rsidRPr="00346A22">
      <w:rPr>
        <w:rFonts w:ascii="Palatino Linotype" w:hAnsi="Palatino Linotype"/>
        <w:b/>
        <w:bCs/>
        <w:i/>
        <w:iCs/>
      </w:rPr>
      <w:t>TEMA 21 -</w:t>
    </w:r>
    <w:r w:rsidRPr="00346A22">
      <w:rPr>
        <w:rFonts w:ascii="Palatino Linotype" w:hAnsi="Palatino Linotype"/>
        <w:i/>
        <w:iCs/>
      </w:rPr>
      <w:t xml:space="preserve"> El régimen aduanero del comercio exterior: la política aduanera comunitaria. El código aduanero. El arancel de aduanas. Economía arancelaria. El origen de las mercancías. El valor en aduana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D3F5F"/>
    <w:multiLevelType w:val="multilevel"/>
    <w:tmpl w:val="D914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B6BFD"/>
    <w:multiLevelType w:val="multilevel"/>
    <w:tmpl w:val="1BB43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84CE2"/>
    <w:multiLevelType w:val="multilevel"/>
    <w:tmpl w:val="8D0A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D27B1"/>
    <w:multiLevelType w:val="multilevel"/>
    <w:tmpl w:val="B60E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513CB"/>
    <w:multiLevelType w:val="multilevel"/>
    <w:tmpl w:val="F53C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F127C"/>
    <w:multiLevelType w:val="multilevel"/>
    <w:tmpl w:val="C80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D33A8"/>
    <w:multiLevelType w:val="multilevel"/>
    <w:tmpl w:val="E090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07C4F"/>
    <w:multiLevelType w:val="multilevel"/>
    <w:tmpl w:val="8750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B15E8"/>
    <w:multiLevelType w:val="multilevel"/>
    <w:tmpl w:val="20D6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946ED6"/>
    <w:multiLevelType w:val="multilevel"/>
    <w:tmpl w:val="BA8C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D2778"/>
    <w:multiLevelType w:val="multilevel"/>
    <w:tmpl w:val="B274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4B484B"/>
    <w:multiLevelType w:val="multilevel"/>
    <w:tmpl w:val="51CC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D70390"/>
    <w:multiLevelType w:val="multilevel"/>
    <w:tmpl w:val="9B36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8470A3"/>
    <w:multiLevelType w:val="multilevel"/>
    <w:tmpl w:val="F4DE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3C0F98"/>
    <w:multiLevelType w:val="multilevel"/>
    <w:tmpl w:val="CA76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A5E54"/>
    <w:multiLevelType w:val="multilevel"/>
    <w:tmpl w:val="0886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7C2B16"/>
    <w:multiLevelType w:val="multilevel"/>
    <w:tmpl w:val="2F6E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850009">
    <w:abstractNumId w:val="0"/>
  </w:num>
  <w:num w:numId="2" w16cid:durableId="1595742582">
    <w:abstractNumId w:val="11"/>
  </w:num>
  <w:num w:numId="3" w16cid:durableId="2000571655">
    <w:abstractNumId w:val="16"/>
  </w:num>
  <w:num w:numId="4" w16cid:durableId="229001999">
    <w:abstractNumId w:val="12"/>
  </w:num>
  <w:num w:numId="5" w16cid:durableId="222177576">
    <w:abstractNumId w:val="9"/>
  </w:num>
  <w:num w:numId="6" w16cid:durableId="1312099970">
    <w:abstractNumId w:val="7"/>
  </w:num>
  <w:num w:numId="7" w16cid:durableId="1144543351">
    <w:abstractNumId w:val="8"/>
  </w:num>
  <w:num w:numId="8" w16cid:durableId="1630623238">
    <w:abstractNumId w:val="3"/>
  </w:num>
  <w:num w:numId="9" w16cid:durableId="264772206">
    <w:abstractNumId w:val="15"/>
  </w:num>
  <w:num w:numId="10" w16cid:durableId="472677601">
    <w:abstractNumId w:val="5"/>
  </w:num>
  <w:num w:numId="11" w16cid:durableId="2140412201">
    <w:abstractNumId w:val="2"/>
  </w:num>
  <w:num w:numId="12" w16cid:durableId="787700476">
    <w:abstractNumId w:val="13"/>
  </w:num>
  <w:num w:numId="13" w16cid:durableId="956060293">
    <w:abstractNumId w:val="6"/>
  </w:num>
  <w:num w:numId="14" w16cid:durableId="730352970">
    <w:abstractNumId w:val="1"/>
  </w:num>
  <w:num w:numId="15" w16cid:durableId="258292312">
    <w:abstractNumId w:val="10"/>
  </w:num>
  <w:num w:numId="16" w16cid:durableId="1933707960">
    <w:abstractNumId w:val="14"/>
  </w:num>
  <w:num w:numId="17" w16cid:durableId="183132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A22"/>
    <w:rsid w:val="000F0B37"/>
    <w:rsid w:val="00346A22"/>
    <w:rsid w:val="005803BC"/>
    <w:rsid w:val="007F0456"/>
    <w:rsid w:val="008B2679"/>
    <w:rsid w:val="00A65383"/>
    <w:rsid w:val="00A8675C"/>
    <w:rsid w:val="00C12CFD"/>
    <w:rsid w:val="00C8389C"/>
    <w:rsid w:val="00CF22B2"/>
    <w:rsid w:val="00F63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AE3A6"/>
  <w15:chartTrackingRefBased/>
  <w15:docId w15:val="{D55809AA-AB47-44BD-A48F-ACF647E36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6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6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6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6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6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6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6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6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6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46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6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6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6A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6A2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6A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6A2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6A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6A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6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6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6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6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6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6A22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346A2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6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6A2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6A2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46A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6A22"/>
  </w:style>
  <w:style w:type="paragraph" w:styleId="Piedepgina">
    <w:name w:val="footer"/>
    <w:basedOn w:val="Normal"/>
    <w:link w:val="PiedepginaCar"/>
    <w:uiPriority w:val="99"/>
    <w:unhideWhenUsed/>
    <w:rsid w:val="00346A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6A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928</Words>
  <Characters>5109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2025-11-21T17:40:00Z</dcterms:created>
  <dcterms:modified xsi:type="dcterms:W3CDTF">2026-01-14T14:23:00Z</dcterms:modified>
</cp:coreProperties>
</file>