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353F2" w14:textId="77777777" w:rsidR="005424E1" w:rsidRPr="00E166C3" w:rsidRDefault="005424E1" w:rsidP="00E166C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66C3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24185A2F" w14:textId="77777777" w:rsidR="005424E1" w:rsidRPr="00E166C3" w:rsidRDefault="005424E1" w:rsidP="00E166C3">
      <w:pPr>
        <w:numPr>
          <w:ilvl w:val="0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Importancia comercial de la UE:</w:t>
      </w:r>
    </w:p>
    <w:p w14:paraId="653D7AB1" w14:textId="5181233F" w:rsidR="00CE4520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 xml:space="preserve">Mayor socio comercial de los países pobres </w:t>
      </w:r>
    </w:p>
    <w:p w14:paraId="66B1F55C" w14:textId="315000DA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Mercado más abierto: 80% de las exportaciones de países en desarrollo entran con tarifas reducidas o nulas.</w:t>
      </w:r>
    </w:p>
    <w:p w14:paraId="541EB2CC" w14:textId="77777777" w:rsidR="005424E1" w:rsidRPr="00E166C3" w:rsidRDefault="005424E1" w:rsidP="00E166C3">
      <w:pPr>
        <w:numPr>
          <w:ilvl w:val="0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Definición del SPG:</w:t>
      </w:r>
    </w:p>
    <w:p w14:paraId="38BE16EC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Instrumento clave de la política comunitaria de ayuda al desarrollo.</w:t>
      </w:r>
    </w:p>
    <w:p w14:paraId="6F823B44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Consiste en reducciones arancelarias a países que lo necesitan.</w:t>
      </w:r>
    </w:p>
    <w:p w14:paraId="7228903E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Aplicación: Importaciones de países en desarrollo que pagan arancel (no tienen arancel 0 por Nación Más Favorecida - NMF).</w:t>
      </w:r>
    </w:p>
    <w:p w14:paraId="19329422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Cobertura: De aprox. 11.000 líneas aduaneras, unas 7.000 entran en el SPG (2.000 ya son libres por NMF).</w:t>
      </w:r>
    </w:p>
    <w:p w14:paraId="4469AEB3" w14:textId="77777777" w:rsidR="005424E1" w:rsidRPr="00E166C3" w:rsidRDefault="005424E1" w:rsidP="00E166C3">
      <w:pPr>
        <w:numPr>
          <w:ilvl w:val="0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Objetivos adicionales:</w:t>
      </w:r>
    </w:p>
    <w:p w14:paraId="255FD468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Generar ingresos adicionales mediante exportaciones.</w:t>
      </w:r>
    </w:p>
    <w:p w14:paraId="68646947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Garantizar Derechos Humanos y Laborales fundamentales.</w:t>
      </w:r>
    </w:p>
    <w:p w14:paraId="6F27BE47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Promover el desarrollo sostenible y la gobernanza.</w:t>
      </w:r>
    </w:p>
    <w:p w14:paraId="62BBA2CD" w14:textId="77777777" w:rsidR="005424E1" w:rsidRPr="00E166C3" w:rsidRDefault="005424E1" w:rsidP="00E166C3">
      <w:pPr>
        <w:numPr>
          <w:ilvl w:val="0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Acuerdos de Asociación Económica (AAE):</w:t>
      </w:r>
    </w:p>
    <w:p w14:paraId="536179CC" w14:textId="36224F98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 xml:space="preserve">En vigor (algunos) desde el 1 de enero de 2008 con regiones ACP </w:t>
      </w:r>
    </w:p>
    <w:p w14:paraId="5D8A7374" w14:textId="77777777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Sustituyen disposiciones de Convenios de Cotonou y Lomé.</w:t>
      </w:r>
    </w:p>
    <w:p w14:paraId="6B4B3DA9" w14:textId="2D020392" w:rsidR="005424E1" w:rsidRPr="00E166C3" w:rsidRDefault="005424E1" w:rsidP="00E166C3">
      <w:pPr>
        <w:numPr>
          <w:ilvl w:val="1"/>
          <w:numId w:val="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Compatibles con la OMC: cubren casi todo el comercio de bienes (al menos 80%), servicios, inversiones y normas.</w:t>
      </w:r>
    </w:p>
    <w:p w14:paraId="40895A6E" w14:textId="77777777" w:rsidR="005424E1" w:rsidRPr="00E166C3" w:rsidRDefault="005424E1" w:rsidP="00E166C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66C3">
        <w:rPr>
          <w:rFonts w:ascii="Cambria" w:hAnsi="Cambria"/>
          <w:b/>
          <w:bCs/>
          <w:color w:val="auto"/>
          <w:sz w:val="28"/>
          <w:szCs w:val="28"/>
        </w:rPr>
        <w:t>2. ANTECEDENTES</w:t>
      </w:r>
    </w:p>
    <w:p w14:paraId="705F064C" w14:textId="77777777" w:rsidR="005424E1" w:rsidRPr="00E166C3" w:rsidRDefault="005424E1" w:rsidP="00E166C3">
      <w:pPr>
        <w:numPr>
          <w:ilvl w:val="0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Origen:</w:t>
      </w:r>
      <w:r w:rsidRPr="00E166C3">
        <w:rPr>
          <w:rFonts w:ascii="Cambria" w:hAnsi="Cambria"/>
        </w:rPr>
        <w:t xml:space="preserve"> Conferencia de Nueva Delhi de la UNCTAD (1968). Puesta en práctica en 1971.</w:t>
      </w:r>
    </w:p>
    <w:p w14:paraId="088197BC" w14:textId="7F22BB3B" w:rsidR="005424E1" w:rsidRPr="00E166C3" w:rsidRDefault="005424E1" w:rsidP="00E166C3">
      <w:pPr>
        <w:numPr>
          <w:ilvl w:val="0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Principio:</w:t>
      </w:r>
      <w:r w:rsidRPr="00E166C3">
        <w:rPr>
          <w:rFonts w:ascii="Cambria" w:hAnsi="Cambria"/>
        </w:rPr>
        <w:t xml:space="preserve"> Equidad vertical (trato diferente a países desiguales). Excepción al Principio de No Discriminación del GATT </w:t>
      </w:r>
    </w:p>
    <w:p w14:paraId="6EA6C02A" w14:textId="77777777" w:rsidR="005424E1" w:rsidRPr="00E166C3" w:rsidRDefault="005424E1" w:rsidP="00E166C3">
      <w:pPr>
        <w:numPr>
          <w:ilvl w:val="0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Objetivos originales:</w:t>
      </w:r>
    </w:p>
    <w:p w14:paraId="0E27064B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Incrementar ingresos por exportaciones de Países en Desarrollo (PED).</w:t>
      </w:r>
    </w:p>
    <w:p w14:paraId="0A29289E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Promover industrialización.</w:t>
      </w:r>
    </w:p>
    <w:p w14:paraId="6807DFCE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lastRenderedPageBreak/>
        <w:t>Acelerar tasas de crecimiento.</w:t>
      </w:r>
    </w:p>
    <w:p w14:paraId="1121DAB3" w14:textId="77777777" w:rsidR="005424E1" w:rsidRPr="00E166C3" w:rsidRDefault="005424E1" w:rsidP="00E166C3">
      <w:pPr>
        <w:numPr>
          <w:ilvl w:val="0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Mecanismo del SPG:</w:t>
      </w:r>
    </w:p>
    <w:p w14:paraId="5ACFB7FA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Instrumento de política comercial autónomo y no convencional.</w:t>
      </w:r>
    </w:p>
    <w:p w14:paraId="6DD1DF70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Principio de Auto-elección:</w:t>
      </w:r>
      <w:r w:rsidRPr="00E166C3">
        <w:rPr>
          <w:rFonts w:ascii="Cambria" w:hAnsi="Cambria"/>
        </w:rPr>
        <w:t xml:space="preserve"> Determina beneficiarios, aunque con márgenes de exclusión (renta, competitividad).</w:t>
      </w:r>
    </w:p>
    <w:p w14:paraId="2775C1ED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Estructura:</w:t>
      </w:r>
      <w:r w:rsidRPr="00E166C3">
        <w:rPr>
          <w:rFonts w:ascii="Cambria" w:hAnsi="Cambria"/>
        </w:rPr>
        <w:t xml:space="preserve"> "Esquemas" (listas de productos, países o preferencias).</w:t>
      </w:r>
    </w:p>
    <w:p w14:paraId="6B9D6CD9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Graduación:</w:t>
      </w:r>
      <w:r w:rsidRPr="00E166C3">
        <w:rPr>
          <w:rFonts w:ascii="Cambria" w:hAnsi="Cambria"/>
        </w:rPr>
        <w:t xml:space="preserve"> Exclusión de países/sectores por renta per cápita o competitividad.</w:t>
      </w:r>
    </w:p>
    <w:p w14:paraId="1165B32D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Preferencias:</w:t>
      </w:r>
      <w:r w:rsidRPr="00E166C3">
        <w:rPr>
          <w:rFonts w:ascii="Cambria" w:hAnsi="Cambria"/>
        </w:rPr>
        <w:t xml:space="preserve"> Franquicia arancelaria total o reducción (modulación) de tipos.</w:t>
      </w:r>
    </w:p>
    <w:p w14:paraId="05978005" w14:textId="77777777" w:rsidR="005424E1" w:rsidRPr="00E166C3" w:rsidRDefault="005424E1" w:rsidP="00E166C3">
      <w:pPr>
        <w:numPr>
          <w:ilvl w:val="1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Reglas de origen:</w:t>
      </w:r>
      <w:r w:rsidRPr="00E166C3">
        <w:rPr>
          <w:rFonts w:ascii="Cambria" w:hAnsi="Cambria"/>
        </w:rPr>
        <w:t xml:space="preserve"> Restrictivas (no permiten acumulación con otros PED).</w:t>
      </w:r>
    </w:p>
    <w:p w14:paraId="2016FBE9" w14:textId="14C48A7F" w:rsidR="005424E1" w:rsidRPr="00E166C3" w:rsidRDefault="005424E1" w:rsidP="00E166C3">
      <w:pPr>
        <w:numPr>
          <w:ilvl w:val="0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 xml:space="preserve">Pérdida de </w:t>
      </w:r>
      <w:r w:rsidR="00C95CA0" w:rsidRPr="00E166C3">
        <w:rPr>
          <w:rFonts w:ascii="Cambria" w:hAnsi="Cambria"/>
          <w:b/>
          <w:bCs/>
        </w:rPr>
        <w:t>eficacia:</w:t>
      </w:r>
    </w:p>
    <w:p w14:paraId="7F0E832F" w14:textId="5075087F" w:rsidR="005424E1" w:rsidRPr="00E166C3" w:rsidRDefault="005424E1" w:rsidP="00E166C3">
      <w:pPr>
        <w:numPr>
          <w:ilvl w:val="1"/>
          <w:numId w:val="1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Erosión del margen de preferencia:</w:t>
      </w:r>
      <w:r w:rsidRPr="00E166C3">
        <w:rPr>
          <w:rFonts w:ascii="Cambria" w:hAnsi="Cambria"/>
        </w:rPr>
        <w:t xml:space="preserve"> Reducción de aranceles NMF (40%) tras Ronda Uruguay.</w:t>
      </w:r>
    </w:p>
    <w:p w14:paraId="6ACB9B61" w14:textId="6BEE3A17" w:rsidR="005424E1" w:rsidRPr="00E166C3" w:rsidRDefault="005424E1" w:rsidP="00E166C3">
      <w:pPr>
        <w:numPr>
          <w:ilvl w:val="1"/>
          <w:numId w:val="1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Pérdida de importancia de aranceles:</w:t>
      </w:r>
      <w:r w:rsidRPr="00E166C3">
        <w:rPr>
          <w:rFonts w:ascii="Cambria" w:hAnsi="Cambria"/>
        </w:rPr>
        <w:t xml:space="preserve"> Mayor peso de </w:t>
      </w:r>
      <w:r w:rsidR="00EC1342" w:rsidRPr="00E166C3">
        <w:rPr>
          <w:rFonts w:ascii="Cambria" w:hAnsi="Cambria"/>
        </w:rPr>
        <w:t>BNA.</w:t>
      </w:r>
    </w:p>
    <w:p w14:paraId="2014DB71" w14:textId="77777777" w:rsidR="005424E1" w:rsidRPr="00E166C3" w:rsidRDefault="005424E1" w:rsidP="00E166C3">
      <w:pPr>
        <w:numPr>
          <w:ilvl w:val="1"/>
          <w:numId w:val="1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Condicionalidad:</w:t>
      </w:r>
      <w:r w:rsidRPr="00E166C3">
        <w:rPr>
          <w:rFonts w:ascii="Cambria" w:hAnsi="Cambria"/>
        </w:rPr>
        <w:t xml:space="preserve"> Carácter discrecional.</w:t>
      </w:r>
    </w:p>
    <w:p w14:paraId="5B3333A0" w14:textId="3C9640F0" w:rsidR="005424E1" w:rsidRPr="00E166C3" w:rsidRDefault="005424E1" w:rsidP="00E166C3">
      <w:pPr>
        <w:numPr>
          <w:ilvl w:val="1"/>
          <w:numId w:val="1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Desvirtuación de No Discriminación:</w:t>
      </w:r>
      <w:r w:rsidRPr="00E166C3">
        <w:rPr>
          <w:rFonts w:ascii="Cambria" w:hAnsi="Cambria"/>
        </w:rPr>
        <w:t xml:space="preserve"> Creación de ZLC y UA.</w:t>
      </w:r>
    </w:p>
    <w:p w14:paraId="56505618" w14:textId="3FFD9FA6" w:rsidR="005424E1" w:rsidRPr="00E166C3" w:rsidRDefault="005424E1" w:rsidP="00E166C3">
      <w:pPr>
        <w:numPr>
          <w:ilvl w:val="0"/>
          <w:numId w:val="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Reforma 2005</w:t>
      </w:r>
    </w:p>
    <w:p w14:paraId="6303AFCF" w14:textId="0ABDE4BC" w:rsidR="005424E1" w:rsidRPr="00E166C3" w:rsidRDefault="005424E1" w:rsidP="00E166C3">
      <w:pPr>
        <w:numPr>
          <w:ilvl w:val="1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Régimen SPG general</w:t>
      </w:r>
      <w:r w:rsidR="00CE4520" w:rsidRPr="00E166C3">
        <w:rPr>
          <w:rFonts w:ascii="Cambria" w:hAnsi="Cambria"/>
          <w:b/>
          <w:bCs/>
        </w:rPr>
        <w:t xml:space="preserve"> (10 países)</w:t>
      </w:r>
      <w:r w:rsidRPr="00E166C3">
        <w:rPr>
          <w:rFonts w:ascii="Cambria" w:hAnsi="Cambria"/>
          <w:b/>
          <w:bCs/>
        </w:rPr>
        <w:t>:</w:t>
      </w:r>
    </w:p>
    <w:p w14:paraId="1F7C70EB" w14:textId="77777777" w:rsidR="005424E1" w:rsidRPr="00E166C3" w:rsidRDefault="005424E1" w:rsidP="00E166C3">
      <w:pPr>
        <w:numPr>
          <w:ilvl w:val="2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Exención total para productos no sensibles.</w:t>
      </w:r>
    </w:p>
    <w:p w14:paraId="04049D40" w14:textId="77777777" w:rsidR="005424E1" w:rsidRPr="00E166C3" w:rsidRDefault="005424E1" w:rsidP="00E166C3">
      <w:pPr>
        <w:numPr>
          <w:ilvl w:val="2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 xml:space="preserve">Reducción para sensibles: 3,5 puntos en </w:t>
      </w:r>
      <w:r w:rsidRPr="00E166C3">
        <w:rPr>
          <w:rFonts w:ascii="Cambria" w:hAnsi="Cambria"/>
          <w:i/>
          <w:iCs/>
        </w:rPr>
        <w:t>ad valorem</w:t>
      </w:r>
      <w:r w:rsidRPr="00E166C3">
        <w:rPr>
          <w:rFonts w:ascii="Cambria" w:hAnsi="Cambria"/>
        </w:rPr>
        <w:t xml:space="preserve"> (20% en textil/confección) y 30% en específicos.</w:t>
      </w:r>
    </w:p>
    <w:p w14:paraId="717892C0" w14:textId="0E626ACE" w:rsidR="005424E1" w:rsidRPr="00E166C3" w:rsidRDefault="005424E1" w:rsidP="00E166C3">
      <w:pPr>
        <w:numPr>
          <w:ilvl w:val="1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Régimen Especial de Estímulo del Desarrollo Sostenible y la Gobernanza (SPG+)</w:t>
      </w:r>
      <w:r w:rsidR="00CE4520" w:rsidRPr="00E166C3">
        <w:rPr>
          <w:rFonts w:ascii="Cambria" w:hAnsi="Cambria"/>
          <w:b/>
          <w:bCs/>
        </w:rPr>
        <w:t xml:space="preserve"> (8 países)</w:t>
      </w:r>
      <w:r w:rsidRPr="00E166C3">
        <w:rPr>
          <w:rFonts w:ascii="Cambria" w:hAnsi="Cambria"/>
          <w:b/>
          <w:bCs/>
        </w:rPr>
        <w:t>:</w:t>
      </w:r>
    </w:p>
    <w:p w14:paraId="39A2D054" w14:textId="77777777" w:rsidR="005424E1" w:rsidRPr="00E166C3" w:rsidRDefault="005424E1" w:rsidP="00E166C3">
      <w:pPr>
        <w:numPr>
          <w:ilvl w:val="2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 xml:space="preserve">Suspensión total de aranceles </w:t>
      </w:r>
      <w:r w:rsidRPr="00E166C3">
        <w:rPr>
          <w:rFonts w:ascii="Cambria" w:hAnsi="Cambria"/>
          <w:i/>
          <w:iCs/>
        </w:rPr>
        <w:t>ad valorem</w:t>
      </w:r>
      <w:r w:rsidRPr="00E166C3">
        <w:rPr>
          <w:rFonts w:ascii="Cambria" w:hAnsi="Cambria"/>
        </w:rPr>
        <w:t xml:space="preserve"> y específicos.</w:t>
      </w:r>
    </w:p>
    <w:p w14:paraId="361EF4AB" w14:textId="77777777" w:rsidR="005424E1" w:rsidRPr="00E166C3" w:rsidRDefault="005424E1" w:rsidP="00E166C3">
      <w:pPr>
        <w:numPr>
          <w:ilvl w:val="2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Requisitos: Ser país vulnerable (baja integración comercial + escasa diversificación) y ratificar/aplicar 27 Convenciones Internacionales.</w:t>
      </w:r>
    </w:p>
    <w:p w14:paraId="0F6B7C62" w14:textId="6DB637F5" w:rsidR="005424E1" w:rsidRPr="00E166C3" w:rsidRDefault="005424E1" w:rsidP="00E166C3">
      <w:pPr>
        <w:numPr>
          <w:ilvl w:val="1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Iniciativa EBA (Everything But Arms - Todo Menos Armas)</w:t>
      </w:r>
      <w:r w:rsidR="00CE4520" w:rsidRPr="00E166C3">
        <w:rPr>
          <w:rFonts w:ascii="Cambria" w:hAnsi="Cambria"/>
          <w:b/>
          <w:bCs/>
        </w:rPr>
        <w:t xml:space="preserve"> (46 países)</w:t>
      </w:r>
      <w:r w:rsidRPr="00E166C3">
        <w:rPr>
          <w:rFonts w:ascii="Cambria" w:hAnsi="Cambria"/>
          <w:b/>
          <w:bCs/>
        </w:rPr>
        <w:t>:</w:t>
      </w:r>
    </w:p>
    <w:p w14:paraId="298F75BF" w14:textId="77777777" w:rsidR="005424E1" w:rsidRPr="00E166C3" w:rsidRDefault="005424E1" w:rsidP="00E166C3">
      <w:pPr>
        <w:numPr>
          <w:ilvl w:val="2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A favor de Países Menos Adelantados (PMA).</w:t>
      </w:r>
    </w:p>
    <w:p w14:paraId="7FA4F86D" w14:textId="77777777" w:rsidR="005424E1" w:rsidRPr="00E166C3" w:rsidRDefault="005424E1" w:rsidP="00E166C3">
      <w:pPr>
        <w:numPr>
          <w:ilvl w:val="2"/>
          <w:numId w:val="3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lastRenderedPageBreak/>
        <w:t>Exención total (salvo armas).</w:t>
      </w:r>
    </w:p>
    <w:p w14:paraId="298EF93E" w14:textId="77777777" w:rsidR="005424E1" w:rsidRPr="00E166C3" w:rsidRDefault="005424E1" w:rsidP="00E166C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66C3">
        <w:rPr>
          <w:rFonts w:ascii="Cambria" w:hAnsi="Cambria"/>
          <w:b/>
          <w:bCs/>
          <w:color w:val="auto"/>
          <w:sz w:val="28"/>
          <w:szCs w:val="28"/>
        </w:rPr>
        <w:t>3. SISTEMA DE PREFERENCIAS GENERALIZADAS (Reglamento UE 978/2012)</w:t>
      </w:r>
    </w:p>
    <w:p w14:paraId="6CFC9324" w14:textId="77777777" w:rsidR="005424E1" w:rsidRPr="00E166C3" w:rsidRDefault="005424E1" w:rsidP="00E166C3">
      <w:pPr>
        <w:jc w:val="both"/>
        <w:rPr>
          <w:rFonts w:ascii="Cambria" w:hAnsi="Cambria"/>
        </w:rPr>
      </w:pPr>
      <w:r w:rsidRPr="00E166C3">
        <w:rPr>
          <w:rFonts w:ascii="Cambria" w:hAnsi="Cambria"/>
        </w:rPr>
        <w:t>Revisión para adaptar el sistema al paisaje económico actual y centrar preferencias en países que más lo necesitan.</w:t>
      </w:r>
    </w:p>
    <w:p w14:paraId="30A5C131" w14:textId="77777777" w:rsidR="005424E1" w:rsidRPr="00E166C3" w:rsidRDefault="005424E1" w:rsidP="00E166C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66C3">
        <w:rPr>
          <w:rFonts w:ascii="Cambria" w:hAnsi="Cambria"/>
          <w:b/>
          <w:bCs/>
          <w:color w:val="auto"/>
          <w:sz w:val="24"/>
          <w:szCs w:val="24"/>
        </w:rPr>
        <w:t>3.1. Reforma del SPG</w:t>
      </w:r>
    </w:p>
    <w:p w14:paraId="61F14B0B" w14:textId="77777777" w:rsidR="005424E1" w:rsidRPr="00E166C3" w:rsidRDefault="005424E1" w:rsidP="00E166C3">
      <w:pPr>
        <w:numPr>
          <w:ilvl w:val="0"/>
          <w:numId w:val="4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Basada en evaluación de impacto (consulta pública 2010).</w:t>
      </w:r>
    </w:p>
    <w:p w14:paraId="00D8C176" w14:textId="77777777" w:rsidR="005424E1" w:rsidRPr="00E166C3" w:rsidRDefault="005424E1" w:rsidP="00E166C3">
      <w:pPr>
        <w:numPr>
          <w:ilvl w:val="0"/>
          <w:numId w:val="4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Opción elegida (Opción C):</w:t>
      </w:r>
      <w:r w:rsidRPr="00E166C3">
        <w:rPr>
          <w:rFonts w:ascii="Cambria" w:hAnsi="Cambria"/>
        </w:rPr>
        <w:t xml:space="preserve"> Rediseño parcial.</w:t>
      </w:r>
    </w:p>
    <w:p w14:paraId="4586E379" w14:textId="1E69808B" w:rsidR="005424E1" w:rsidRPr="00E166C3" w:rsidRDefault="005424E1" w:rsidP="00E166C3">
      <w:pPr>
        <w:numPr>
          <w:ilvl w:val="1"/>
          <w:numId w:val="4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Eliminación de preferencias para territorios de ultramar, países de renta alta/media-alta y países con acuerdos preferenciales.</w:t>
      </w:r>
      <w:r w:rsidR="00C95CA0" w:rsidRPr="00E166C3">
        <w:rPr>
          <w:rFonts w:ascii="Cambria" w:hAnsi="Cambria"/>
        </w:rPr>
        <w:t xml:space="preserve"> </w:t>
      </w:r>
      <w:r w:rsidRPr="00E166C3">
        <w:rPr>
          <w:rFonts w:ascii="Cambria" w:hAnsi="Cambria"/>
        </w:rPr>
        <w:t>Revisión de graduación (no aplica a SPG+).</w:t>
      </w:r>
      <w:r w:rsidR="00C95CA0" w:rsidRPr="00E166C3">
        <w:rPr>
          <w:rFonts w:ascii="Cambria" w:hAnsi="Cambria"/>
        </w:rPr>
        <w:t xml:space="preserve"> </w:t>
      </w:r>
      <w:r w:rsidRPr="00E166C3">
        <w:rPr>
          <w:rFonts w:ascii="Cambria" w:hAnsi="Cambria"/>
        </w:rPr>
        <w:t xml:space="preserve">Mejora de acceso y monitoreo a </w:t>
      </w:r>
      <w:r w:rsidR="00C95CA0" w:rsidRPr="00E166C3">
        <w:rPr>
          <w:rFonts w:ascii="Cambria" w:hAnsi="Cambria"/>
        </w:rPr>
        <w:t>SPG+. Procedimientos</w:t>
      </w:r>
      <w:r w:rsidRPr="00E166C3">
        <w:rPr>
          <w:rFonts w:ascii="Cambria" w:hAnsi="Cambria"/>
        </w:rPr>
        <w:t xml:space="preserve"> de retirada y salvaguardia más transparentes.</w:t>
      </w:r>
    </w:p>
    <w:p w14:paraId="62D16D1A" w14:textId="77777777" w:rsidR="005424E1" w:rsidRPr="00E166C3" w:rsidRDefault="005424E1" w:rsidP="00E166C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66C3">
        <w:rPr>
          <w:rFonts w:ascii="Cambria" w:hAnsi="Cambria"/>
          <w:b/>
          <w:bCs/>
          <w:color w:val="auto"/>
          <w:sz w:val="24"/>
          <w:szCs w:val="24"/>
        </w:rPr>
        <w:t>3.2. Principales elementos de la reforma</w:t>
      </w:r>
    </w:p>
    <w:p w14:paraId="1753579D" w14:textId="1A264107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Cobertura de países</w:t>
      </w:r>
    </w:p>
    <w:p w14:paraId="7354DB5A" w14:textId="77777777" w:rsidR="005424E1" w:rsidRPr="00E166C3" w:rsidRDefault="005424E1" w:rsidP="00E166C3">
      <w:pPr>
        <w:numPr>
          <w:ilvl w:val="0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Objetivo:</w:t>
      </w:r>
      <w:r w:rsidRPr="00E166C3">
        <w:rPr>
          <w:rFonts w:ascii="Cambria" w:hAnsi="Cambria"/>
        </w:rPr>
        <w:t xml:space="preserve"> Enfocar preferencias en los más necesitados (evitar que países avanzados copen beneficios).</w:t>
      </w:r>
    </w:p>
    <w:p w14:paraId="19700A2D" w14:textId="77777777" w:rsidR="005424E1" w:rsidRPr="00E166C3" w:rsidRDefault="005424E1" w:rsidP="00E166C3">
      <w:pPr>
        <w:numPr>
          <w:ilvl w:val="0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Dos listas de países:</w:t>
      </w:r>
    </w:p>
    <w:p w14:paraId="7A432B33" w14:textId="77777777" w:rsidR="005424E1" w:rsidRPr="00E166C3" w:rsidRDefault="005424E1" w:rsidP="00E166C3">
      <w:pPr>
        <w:numPr>
          <w:ilvl w:val="1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Anexo I (Potenciales beneficiarios):</w:t>
      </w:r>
      <w:r w:rsidRPr="00E166C3">
        <w:rPr>
          <w:rFonts w:ascii="Cambria" w:hAnsi="Cambria"/>
        </w:rPr>
        <w:t xml:space="preserve"> Todos los PED. Incluye países con acuerdos alternativos (ej. Balcanes, Chile) y Hong Kong. Se eliminan 33 territorios de ultramar.</w:t>
      </w:r>
    </w:p>
    <w:p w14:paraId="7DDD2EF9" w14:textId="77777777" w:rsidR="005424E1" w:rsidRPr="00E166C3" w:rsidRDefault="005424E1" w:rsidP="00E166C3">
      <w:pPr>
        <w:numPr>
          <w:ilvl w:val="1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Anexo II (Beneficiarios reales):</w:t>
      </w:r>
      <w:r w:rsidRPr="00E166C3">
        <w:rPr>
          <w:rFonts w:ascii="Cambria" w:hAnsi="Cambria"/>
        </w:rPr>
        <w:t xml:space="preserve"> Se excluyen países según criterios de renta y acuerdos comerciales.</w:t>
      </w:r>
    </w:p>
    <w:p w14:paraId="295FF295" w14:textId="77777777" w:rsidR="005424E1" w:rsidRPr="00E166C3" w:rsidRDefault="005424E1" w:rsidP="00E166C3">
      <w:pPr>
        <w:numPr>
          <w:ilvl w:val="0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Criterios de Exclusión (Salidas del Anexo II):</w:t>
      </w:r>
    </w:p>
    <w:p w14:paraId="60E9F5CD" w14:textId="7275D2C6" w:rsidR="005424E1" w:rsidRPr="00E166C3" w:rsidRDefault="005424E1" w:rsidP="00E166C3">
      <w:pPr>
        <w:numPr>
          <w:ilvl w:val="1"/>
          <w:numId w:val="6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Por Renta (Banco Mundial):</w:t>
      </w:r>
      <w:r w:rsidRPr="00E166C3">
        <w:rPr>
          <w:rFonts w:ascii="Cambria" w:hAnsi="Cambria"/>
        </w:rPr>
        <w:t xml:space="preserve"> Países de renta alta o media-alta durante 3 años consecutivos. Se elimina el criterio de diversificación (afecta a exportadores de hidrocarburos).</w:t>
      </w:r>
    </w:p>
    <w:p w14:paraId="4C171843" w14:textId="77777777" w:rsidR="005424E1" w:rsidRPr="00E166C3" w:rsidRDefault="005424E1" w:rsidP="00E166C3">
      <w:pPr>
        <w:numPr>
          <w:ilvl w:val="1"/>
          <w:numId w:val="6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Por Acuerdos Bilaterales (ALC con UE):</w:t>
      </w:r>
      <w:r w:rsidRPr="00E166C3">
        <w:rPr>
          <w:rFonts w:ascii="Cambria" w:hAnsi="Cambria"/>
        </w:rPr>
        <w:t xml:space="preserve"> Si proporcionan al menos las mismas preferencias.</w:t>
      </w:r>
    </w:p>
    <w:p w14:paraId="2D0A9909" w14:textId="06A212A6" w:rsidR="005424E1" w:rsidRPr="00E166C3" w:rsidRDefault="005424E1" w:rsidP="00E166C3">
      <w:pPr>
        <w:numPr>
          <w:ilvl w:val="2"/>
          <w:numId w:val="6"/>
        </w:numPr>
        <w:jc w:val="both"/>
        <w:rPr>
          <w:rFonts w:ascii="Cambria" w:hAnsi="Cambria"/>
        </w:rPr>
      </w:pPr>
      <w:r w:rsidRPr="00E166C3">
        <w:rPr>
          <w:rFonts w:ascii="Cambria" w:hAnsi="Cambria"/>
          <w:i/>
          <w:iCs/>
        </w:rPr>
        <w:t>Ejemplos:</w:t>
      </w:r>
      <w:r w:rsidRPr="00E166C3">
        <w:rPr>
          <w:rFonts w:ascii="Cambria" w:hAnsi="Cambria"/>
        </w:rPr>
        <w:t xml:space="preserve"> Euromed (Argelia, Marruecos, Túnez...), Cariforum, CAN (Colombia, </w:t>
      </w:r>
      <w:r w:rsidR="00EC1342" w:rsidRPr="00E166C3">
        <w:rPr>
          <w:rFonts w:ascii="Cambria" w:hAnsi="Cambria"/>
        </w:rPr>
        <w:t>Perú) …</w:t>
      </w:r>
    </w:p>
    <w:p w14:paraId="0A9DA7D1" w14:textId="650EB98E" w:rsidR="005424E1" w:rsidRPr="00E166C3" w:rsidRDefault="005424E1" w:rsidP="00E166C3">
      <w:pPr>
        <w:numPr>
          <w:ilvl w:val="0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Evolución numérica:</w:t>
      </w:r>
      <w:r w:rsidRPr="00E166C3">
        <w:rPr>
          <w:rFonts w:ascii="Cambria" w:hAnsi="Cambria"/>
        </w:rPr>
        <w:t xml:space="preserve"> De 176 beneficiarios (antiguo SPG) a 64 (2023).</w:t>
      </w:r>
    </w:p>
    <w:p w14:paraId="5D3BC395" w14:textId="77777777" w:rsidR="005424E1" w:rsidRPr="00E166C3" w:rsidRDefault="005424E1" w:rsidP="00E166C3">
      <w:pPr>
        <w:numPr>
          <w:ilvl w:val="0"/>
          <w:numId w:val="5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Periodos transitorios:</w:t>
      </w:r>
    </w:p>
    <w:p w14:paraId="58CB0FFB" w14:textId="77777777" w:rsidR="005424E1" w:rsidRPr="00E166C3" w:rsidRDefault="005424E1" w:rsidP="00E166C3">
      <w:pPr>
        <w:numPr>
          <w:ilvl w:val="1"/>
          <w:numId w:val="7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General: 1 año tras la decisión de salida.</w:t>
      </w:r>
    </w:p>
    <w:p w14:paraId="0130FCC2" w14:textId="77777777" w:rsidR="005424E1" w:rsidRPr="00E166C3" w:rsidRDefault="005424E1" w:rsidP="00E166C3">
      <w:pPr>
        <w:numPr>
          <w:ilvl w:val="1"/>
          <w:numId w:val="7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Específico (ALC): 2 años para países con negociación concluida pero no en vigor a fecha del Reglamento (aplicado a Colombia, Perú, Costa Rica, Panamá).</w:t>
      </w:r>
    </w:p>
    <w:p w14:paraId="4F5D5985" w14:textId="0183AB6A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Productos</w:t>
      </w:r>
    </w:p>
    <w:p w14:paraId="4B402240" w14:textId="77777777" w:rsidR="005424E1" w:rsidRPr="00E166C3" w:rsidRDefault="005424E1" w:rsidP="00E166C3">
      <w:pPr>
        <w:numPr>
          <w:ilvl w:val="0"/>
          <w:numId w:val="8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Ligera ampliación: 15 nuevas líneas en régimen general y 4 en SPG+.</w:t>
      </w:r>
    </w:p>
    <w:p w14:paraId="766EDBDF" w14:textId="77777777" w:rsidR="005424E1" w:rsidRPr="00E166C3" w:rsidRDefault="005424E1" w:rsidP="00E166C3">
      <w:pPr>
        <w:numPr>
          <w:ilvl w:val="0"/>
          <w:numId w:val="8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4 productos pasan de sensibles a no sensibles.</w:t>
      </w:r>
    </w:p>
    <w:p w14:paraId="15F5E610" w14:textId="5BCFA9FA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Régimen SPG+</w:t>
      </w:r>
    </w:p>
    <w:p w14:paraId="1587A498" w14:textId="77777777" w:rsidR="005424E1" w:rsidRPr="00E166C3" w:rsidRDefault="005424E1" w:rsidP="00E166C3">
      <w:pPr>
        <w:numPr>
          <w:ilvl w:val="0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Mayor incentivo y mayor exigencia.</w:t>
      </w:r>
    </w:p>
    <w:p w14:paraId="0FC21837" w14:textId="633AA836" w:rsidR="005424E1" w:rsidRPr="00E166C3" w:rsidRDefault="005424E1" w:rsidP="00E166C3">
      <w:pPr>
        <w:numPr>
          <w:ilvl w:val="0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Acceso</w:t>
      </w:r>
      <w:r w:rsidR="00CE4520" w:rsidRPr="00E166C3">
        <w:rPr>
          <w:rFonts w:ascii="Cambria" w:hAnsi="Cambria"/>
        </w:rPr>
        <w:t>:</w:t>
      </w:r>
    </w:p>
    <w:p w14:paraId="2427A3EA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Umbral de vulnerabilidad elevado al 6,5%.</w:t>
      </w:r>
    </w:p>
    <w:p w14:paraId="1FC808C0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Diversificación: 75% aplicado a las 7 secciones principales (antes 5).</w:t>
      </w:r>
    </w:p>
    <w:p w14:paraId="58045ED4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Solicitud abierta en todo momento (no cada 18 meses).</w:t>
      </w:r>
    </w:p>
    <w:p w14:paraId="3AB6C3E2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No aplica graduación a países SPG+.</w:t>
      </w:r>
    </w:p>
    <w:p w14:paraId="108578EA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Países SPG+ anteriores debieron volver a solicitarlo.</w:t>
      </w:r>
    </w:p>
    <w:p w14:paraId="6B7C6B3E" w14:textId="77777777" w:rsidR="005424E1" w:rsidRPr="00E166C3" w:rsidRDefault="005424E1" w:rsidP="00E166C3">
      <w:pPr>
        <w:numPr>
          <w:ilvl w:val="0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Convenciones (27): Se mantiene el número. Cambio: entra Convención Cambio Climático 1992, sale Apartheid.</w:t>
      </w:r>
    </w:p>
    <w:p w14:paraId="1F2B193E" w14:textId="77777777" w:rsidR="005424E1" w:rsidRPr="00E166C3" w:rsidRDefault="005424E1" w:rsidP="00E166C3">
      <w:pPr>
        <w:numPr>
          <w:ilvl w:val="0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Supervisión reforzada:</w:t>
      </w:r>
    </w:p>
    <w:p w14:paraId="537432C5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Informe de la Comisión cada 2 años (antes 3).</w:t>
      </w:r>
    </w:p>
    <w:p w14:paraId="2BCC81D7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Carga de la prueba invertida: el país debe demostrar cumplimiento si hay evidencia de lo contrario.</w:t>
      </w:r>
    </w:p>
    <w:p w14:paraId="5F9DD983" w14:textId="77777777" w:rsidR="005424E1" w:rsidRPr="00E166C3" w:rsidRDefault="005424E1" w:rsidP="00E166C3">
      <w:pPr>
        <w:numPr>
          <w:ilvl w:val="1"/>
          <w:numId w:val="9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Incumplimiento de compromisos = exclusión inmediata.</w:t>
      </w:r>
    </w:p>
    <w:p w14:paraId="45AE7093" w14:textId="3D72DF58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Graduación</w:t>
      </w:r>
    </w:p>
    <w:p w14:paraId="50218627" w14:textId="77777777" w:rsidR="005424E1" w:rsidRPr="00E166C3" w:rsidRDefault="005424E1" w:rsidP="00E166C3">
      <w:pPr>
        <w:numPr>
          <w:ilvl w:val="0"/>
          <w:numId w:val="10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Suspensión de preferencias si un grupo de productos es muy competitivo.</w:t>
      </w:r>
    </w:p>
    <w:p w14:paraId="31245C56" w14:textId="77777777" w:rsidR="005424E1" w:rsidRPr="00E166C3" w:rsidRDefault="005424E1" w:rsidP="00E166C3">
      <w:pPr>
        <w:numPr>
          <w:ilvl w:val="0"/>
          <w:numId w:val="10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Novedades:</w:t>
      </w:r>
    </w:p>
    <w:p w14:paraId="5AF724BC" w14:textId="77777777" w:rsidR="005424E1" w:rsidRPr="00E166C3" w:rsidRDefault="005424E1" w:rsidP="00E166C3">
      <w:pPr>
        <w:numPr>
          <w:ilvl w:val="1"/>
          <w:numId w:val="10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Secciones ampliadas de 21 a 32 (productos más homogéneos).</w:t>
      </w:r>
    </w:p>
    <w:p w14:paraId="564923CD" w14:textId="77777777" w:rsidR="005424E1" w:rsidRPr="00E166C3" w:rsidRDefault="005424E1" w:rsidP="00E166C3">
      <w:pPr>
        <w:numPr>
          <w:ilvl w:val="1"/>
          <w:numId w:val="10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Umbrales elevados: 17,5% general (antes 15%) y 14,5% textil (antes 12,5%).</w:t>
      </w:r>
    </w:p>
    <w:p w14:paraId="4EEF51B4" w14:textId="77777777" w:rsidR="005424E1" w:rsidRPr="00E166C3" w:rsidRDefault="005424E1" w:rsidP="00E166C3">
      <w:pPr>
        <w:numPr>
          <w:ilvl w:val="1"/>
          <w:numId w:val="10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Eliminación del criterio del 50%.</w:t>
      </w:r>
    </w:p>
    <w:p w14:paraId="4E1E4540" w14:textId="77777777" w:rsidR="005424E1" w:rsidRPr="00E166C3" w:rsidRDefault="005424E1" w:rsidP="00E166C3">
      <w:pPr>
        <w:numPr>
          <w:ilvl w:val="1"/>
          <w:numId w:val="10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Excepción: No se aplica graduación a países SPG+ (considerados vulnerables como los EBA).</w:t>
      </w:r>
    </w:p>
    <w:p w14:paraId="7A538070" w14:textId="74FC1C26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Retirada temporal</w:t>
      </w:r>
    </w:p>
    <w:p w14:paraId="707340DF" w14:textId="77777777" w:rsidR="005424E1" w:rsidRPr="00E166C3" w:rsidRDefault="005424E1" w:rsidP="00E166C3">
      <w:pPr>
        <w:numPr>
          <w:ilvl w:val="0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Causas: Violación de DDHH/Laborales (27 Convenciones), trabajo en prisiones, deficiencias en control de drogas/blanqueo, terrorismo, prácticas comerciales desleales (incluyendo materias primas).</w:t>
      </w:r>
    </w:p>
    <w:p w14:paraId="108C9257" w14:textId="77777777" w:rsidR="005424E1" w:rsidRPr="00E166C3" w:rsidRDefault="005424E1" w:rsidP="00E166C3">
      <w:pPr>
        <w:numPr>
          <w:ilvl w:val="0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Procedimiento:</w:t>
      </w:r>
    </w:p>
    <w:p w14:paraId="7BD6D9A9" w14:textId="77777777" w:rsidR="005424E1" w:rsidRPr="00E166C3" w:rsidRDefault="005424E1" w:rsidP="00E166C3">
      <w:pPr>
        <w:numPr>
          <w:ilvl w:val="1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Inicio anunciado en DOUE (motivado).</w:t>
      </w:r>
    </w:p>
    <w:p w14:paraId="7C692239" w14:textId="77777777" w:rsidR="005424E1" w:rsidRPr="00E166C3" w:rsidRDefault="005424E1" w:rsidP="00E166C3">
      <w:pPr>
        <w:numPr>
          <w:ilvl w:val="1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Seguimiento: 6 meses.</w:t>
      </w:r>
    </w:p>
    <w:p w14:paraId="6852F265" w14:textId="77777777" w:rsidR="005424E1" w:rsidRPr="00E166C3" w:rsidRDefault="005424E1" w:rsidP="00E166C3">
      <w:pPr>
        <w:numPr>
          <w:ilvl w:val="1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Informe Comisión y alegaciones país: 3 meses + 1 mes.</w:t>
      </w:r>
    </w:p>
    <w:p w14:paraId="5129F91D" w14:textId="77777777" w:rsidR="005424E1" w:rsidRPr="00E166C3" w:rsidRDefault="005424E1" w:rsidP="00E166C3">
      <w:pPr>
        <w:numPr>
          <w:ilvl w:val="1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Decisión final: 6 meses tras fin de seguimiento. Acto delegado para retirar preferencias.</w:t>
      </w:r>
    </w:p>
    <w:p w14:paraId="5246A101" w14:textId="77777777" w:rsidR="005424E1" w:rsidRPr="00E166C3" w:rsidRDefault="005424E1" w:rsidP="00E166C3">
      <w:pPr>
        <w:numPr>
          <w:ilvl w:val="1"/>
          <w:numId w:val="11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Entrada en vigor: 6 meses después de la adopción.</w:t>
      </w:r>
    </w:p>
    <w:p w14:paraId="7A9B8A89" w14:textId="58C00028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Salvaguardias y Vigilancia</w:t>
      </w:r>
    </w:p>
    <w:p w14:paraId="3C1EAE8B" w14:textId="77777777" w:rsidR="005424E1" w:rsidRPr="00E166C3" w:rsidRDefault="005424E1" w:rsidP="00E166C3">
      <w:pPr>
        <w:numPr>
          <w:ilvl w:val="0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Restablecimiento de derechos normales (NMF) si hay perjuicio a productores UE.</w:t>
      </w:r>
    </w:p>
    <w:p w14:paraId="001ADF3F" w14:textId="77777777" w:rsidR="005424E1" w:rsidRPr="00E166C3" w:rsidRDefault="005424E1" w:rsidP="00E166C3">
      <w:pPr>
        <w:numPr>
          <w:ilvl w:val="0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Mejoras:</w:t>
      </w:r>
    </w:p>
    <w:p w14:paraId="21F311B6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Definición clara de "producto similar" y "partes interesadas".</w:t>
      </w:r>
    </w:p>
    <w:p w14:paraId="04FB31D6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Umbral más laxo: basta "deterioro" de situación económica (dificultades considerables).</w:t>
      </w:r>
    </w:p>
    <w:p w14:paraId="33B3A1E1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Inicio: A petición de EEMM, Comisión o productores UE.</w:t>
      </w:r>
    </w:p>
    <w:p w14:paraId="0D5604FD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Investigación: 12 meses.</w:t>
      </w:r>
    </w:p>
    <w:p w14:paraId="380A25FE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Vigencia medidas: 3 años (prorrogables).</w:t>
      </w:r>
    </w:p>
    <w:p w14:paraId="78605112" w14:textId="77777777" w:rsidR="005424E1" w:rsidRPr="00E166C3" w:rsidRDefault="005424E1" w:rsidP="00E166C3">
      <w:pPr>
        <w:numPr>
          <w:ilvl w:val="0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Salvaguardias especiales (sin investigación previa):</w:t>
      </w:r>
    </w:p>
    <w:p w14:paraId="22130A8A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Textil/Confección y Bioetanol:</w:t>
      </w:r>
      <w:r w:rsidRPr="00E166C3">
        <w:rPr>
          <w:rFonts w:ascii="Cambria" w:hAnsi="Cambria"/>
        </w:rPr>
        <w:t xml:space="preserve"> Si importaciones de un país aumentan 13,5% interanual (o alcanzan 14,5% del total SPG en textil).</w:t>
      </w:r>
    </w:p>
    <w:p w14:paraId="4F88124B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Agrícola/Pesca (Anexo I TFUE):</w:t>
      </w:r>
      <w:r w:rsidRPr="00E166C3">
        <w:rPr>
          <w:rFonts w:ascii="Cambria" w:hAnsi="Cambria"/>
        </w:rPr>
        <w:t xml:space="preserve"> Si perturban gravemente el mercado.</w:t>
      </w:r>
    </w:p>
    <w:p w14:paraId="3232AFFF" w14:textId="77777777" w:rsidR="005424E1" w:rsidRPr="00E166C3" w:rsidRDefault="005424E1" w:rsidP="00E166C3">
      <w:pPr>
        <w:numPr>
          <w:ilvl w:val="1"/>
          <w:numId w:val="12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Excepción: No aplica si el país no supera el 6% de importaciones totales UE de esa sección.</w:t>
      </w:r>
    </w:p>
    <w:p w14:paraId="76A89563" w14:textId="78F4A75F" w:rsidR="005424E1" w:rsidRPr="00E166C3" w:rsidRDefault="005424E1" w:rsidP="00E166C3">
      <w:pPr>
        <w:jc w:val="both"/>
        <w:rPr>
          <w:rFonts w:ascii="Cambria" w:hAnsi="Cambria"/>
          <w:b/>
          <w:bCs/>
          <w:u w:val="single"/>
        </w:rPr>
      </w:pPr>
      <w:r w:rsidRPr="00E166C3">
        <w:rPr>
          <w:rFonts w:ascii="Cambria" w:hAnsi="Cambria"/>
          <w:b/>
          <w:bCs/>
          <w:u w:val="single"/>
        </w:rPr>
        <w:t>Estabilidad y Toma de Decisiones</w:t>
      </w:r>
    </w:p>
    <w:p w14:paraId="3C77E962" w14:textId="77777777" w:rsidR="005424E1" w:rsidRPr="00E166C3" w:rsidRDefault="005424E1" w:rsidP="00E166C3">
      <w:pPr>
        <w:numPr>
          <w:ilvl w:val="0"/>
          <w:numId w:val="1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Duración:</w:t>
      </w:r>
      <w:r w:rsidRPr="00E166C3">
        <w:rPr>
          <w:rFonts w:ascii="Cambria" w:hAnsi="Cambria"/>
        </w:rPr>
        <w:t xml:space="preserve"> 10 años (revisión a los 5 años). Indefinida para EBA.</w:t>
      </w:r>
    </w:p>
    <w:p w14:paraId="5F41162A" w14:textId="77777777" w:rsidR="005424E1" w:rsidRPr="00E166C3" w:rsidRDefault="005424E1" w:rsidP="00E166C3">
      <w:pPr>
        <w:numPr>
          <w:ilvl w:val="0"/>
          <w:numId w:val="1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Procedimiento:</w:t>
      </w:r>
      <w:r w:rsidRPr="00E166C3">
        <w:rPr>
          <w:rFonts w:ascii="Cambria" w:hAnsi="Cambria"/>
        </w:rPr>
        <w:t xml:space="preserve"> Adaptado al Tratado de Lisboa.</w:t>
      </w:r>
    </w:p>
    <w:p w14:paraId="5EFC209F" w14:textId="77777777" w:rsidR="005424E1" w:rsidRPr="00E166C3" w:rsidRDefault="005424E1" w:rsidP="00E166C3">
      <w:pPr>
        <w:numPr>
          <w:ilvl w:val="1"/>
          <w:numId w:val="1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Actos Delegados:</w:t>
      </w:r>
      <w:r w:rsidRPr="00E166C3">
        <w:rPr>
          <w:rFonts w:ascii="Cambria" w:hAnsi="Cambria"/>
        </w:rPr>
        <w:t xml:space="preserve"> Para modificar anexos (listas de países, umbrales). Mayor agilidad.</w:t>
      </w:r>
    </w:p>
    <w:p w14:paraId="0548EA1D" w14:textId="3D0E238C" w:rsidR="005424E1" w:rsidRPr="00E166C3" w:rsidRDefault="005424E1" w:rsidP="00E166C3">
      <w:pPr>
        <w:numPr>
          <w:ilvl w:val="1"/>
          <w:numId w:val="13"/>
        </w:numPr>
        <w:jc w:val="both"/>
        <w:rPr>
          <w:rFonts w:ascii="Cambria" w:hAnsi="Cambria"/>
        </w:rPr>
      </w:pPr>
      <w:r w:rsidRPr="00E166C3">
        <w:rPr>
          <w:rFonts w:ascii="Cambria" w:hAnsi="Cambria"/>
          <w:b/>
          <w:bCs/>
        </w:rPr>
        <w:t>Actos de Ejecución:</w:t>
      </w:r>
      <w:r w:rsidRPr="00E166C3">
        <w:rPr>
          <w:rFonts w:ascii="Cambria" w:hAnsi="Cambria"/>
        </w:rPr>
        <w:t xml:space="preserve"> Para decisiones de gestión (iniciar investigaciones, salvaguardias, vigilancia).</w:t>
      </w:r>
    </w:p>
    <w:p w14:paraId="594A1C65" w14:textId="77777777" w:rsidR="005424E1" w:rsidRPr="00E166C3" w:rsidRDefault="005424E1" w:rsidP="00E166C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66C3">
        <w:rPr>
          <w:rFonts w:ascii="Cambria" w:hAnsi="Cambria"/>
          <w:b/>
          <w:bCs/>
          <w:color w:val="auto"/>
          <w:sz w:val="28"/>
          <w:szCs w:val="28"/>
        </w:rPr>
        <w:t>4. CONCLUSIÓN</w:t>
      </w:r>
    </w:p>
    <w:p w14:paraId="0B3041EF" w14:textId="77777777" w:rsidR="005424E1" w:rsidRPr="00E166C3" w:rsidRDefault="005424E1" w:rsidP="00E166C3">
      <w:pPr>
        <w:numPr>
          <w:ilvl w:val="0"/>
          <w:numId w:val="14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El SPG es vital para ingresos, crecimiento y empleo en PED.</w:t>
      </w:r>
    </w:p>
    <w:p w14:paraId="555E2F3C" w14:textId="77777777" w:rsidR="005424E1" w:rsidRPr="00E166C3" w:rsidRDefault="005424E1" w:rsidP="00E166C3">
      <w:pPr>
        <w:numPr>
          <w:ilvl w:val="0"/>
          <w:numId w:val="14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La reforma adapta el instrumento a cambios globales, centrando beneficios en los más necesitados (evitando competencia de países avanzados).</w:t>
      </w:r>
    </w:p>
    <w:p w14:paraId="19470098" w14:textId="77777777" w:rsidR="005424E1" w:rsidRPr="00E166C3" w:rsidRDefault="005424E1" w:rsidP="00E166C3">
      <w:pPr>
        <w:numPr>
          <w:ilvl w:val="0"/>
          <w:numId w:val="14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Refuerzo del desarrollo sostenible (SPG+) y protección de la industria UE (salvaguardias más eficaces).</w:t>
      </w:r>
    </w:p>
    <w:p w14:paraId="53EE7AFE" w14:textId="77777777" w:rsidR="005424E1" w:rsidRPr="00E166C3" w:rsidRDefault="005424E1" w:rsidP="00E166C3">
      <w:pPr>
        <w:numPr>
          <w:ilvl w:val="0"/>
          <w:numId w:val="14"/>
        </w:numPr>
        <w:jc w:val="both"/>
        <w:rPr>
          <w:rFonts w:ascii="Cambria" w:hAnsi="Cambria"/>
        </w:rPr>
      </w:pPr>
      <w:r w:rsidRPr="00E166C3">
        <w:rPr>
          <w:rFonts w:ascii="Cambria" w:hAnsi="Cambria"/>
        </w:rPr>
        <w:t>Resultado: Sistema más estable, transparente y predecible.</w:t>
      </w:r>
    </w:p>
    <w:sectPr w:rsidR="005424E1" w:rsidRPr="00E166C3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40419" w14:textId="77777777" w:rsidR="005424E1" w:rsidRDefault="005424E1" w:rsidP="005424E1">
      <w:pPr>
        <w:spacing w:after="0" w:line="240" w:lineRule="auto"/>
      </w:pPr>
      <w:r>
        <w:separator/>
      </w:r>
    </w:p>
  </w:endnote>
  <w:endnote w:type="continuationSeparator" w:id="0">
    <w:p w14:paraId="70CCF58E" w14:textId="77777777" w:rsidR="005424E1" w:rsidRDefault="005424E1" w:rsidP="00542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E3A93" w14:textId="77777777" w:rsidR="005424E1" w:rsidRDefault="005424E1" w:rsidP="005424E1">
      <w:pPr>
        <w:spacing w:after="0" w:line="240" w:lineRule="auto"/>
      </w:pPr>
      <w:r>
        <w:separator/>
      </w:r>
    </w:p>
  </w:footnote>
  <w:footnote w:type="continuationSeparator" w:id="0">
    <w:p w14:paraId="311D881B" w14:textId="77777777" w:rsidR="005424E1" w:rsidRDefault="005424E1" w:rsidP="005424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D8387" w14:textId="658AC546" w:rsidR="005424E1" w:rsidRPr="005424E1" w:rsidRDefault="005424E1" w:rsidP="005424E1">
    <w:pPr>
      <w:pStyle w:val="Encabezado"/>
      <w:jc w:val="both"/>
      <w:rPr>
        <w:rFonts w:ascii="Palatino Linotype" w:hAnsi="Palatino Linotype"/>
        <w:i/>
        <w:iCs/>
      </w:rPr>
    </w:pPr>
    <w:r w:rsidRPr="005424E1">
      <w:rPr>
        <w:rFonts w:ascii="Palatino Linotype" w:hAnsi="Palatino Linotype"/>
        <w:b/>
        <w:bCs/>
        <w:i/>
        <w:iCs/>
      </w:rPr>
      <w:t>TEMA 22 -</w:t>
    </w:r>
    <w:r w:rsidRPr="005424E1">
      <w:rPr>
        <w:rFonts w:ascii="Palatino Linotype" w:hAnsi="Palatino Linotype"/>
        <w:i/>
        <w:iCs/>
      </w:rPr>
      <w:t xml:space="preserve"> Sistema de Preferencias Generalizadas. Antecedentes. Países beneficiarios, productos y preferencias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679FA"/>
    <w:multiLevelType w:val="multilevel"/>
    <w:tmpl w:val="82F8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B128A"/>
    <w:multiLevelType w:val="multilevel"/>
    <w:tmpl w:val="BDAA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648C9"/>
    <w:multiLevelType w:val="multilevel"/>
    <w:tmpl w:val="7FCC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B6EFA"/>
    <w:multiLevelType w:val="multilevel"/>
    <w:tmpl w:val="5FA6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16B52"/>
    <w:multiLevelType w:val="multilevel"/>
    <w:tmpl w:val="D6C2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F4A66"/>
    <w:multiLevelType w:val="multilevel"/>
    <w:tmpl w:val="0460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4B3E73"/>
    <w:multiLevelType w:val="multilevel"/>
    <w:tmpl w:val="F45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647C61"/>
    <w:multiLevelType w:val="multilevel"/>
    <w:tmpl w:val="E56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A42D64"/>
    <w:multiLevelType w:val="multilevel"/>
    <w:tmpl w:val="3B22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B13E55"/>
    <w:multiLevelType w:val="multilevel"/>
    <w:tmpl w:val="2682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A707FD"/>
    <w:multiLevelType w:val="hybridMultilevel"/>
    <w:tmpl w:val="64629DFC"/>
    <w:lvl w:ilvl="0" w:tplc="4C4A45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37E3D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1BA755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F4625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F8842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1E4500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73EEE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9F4F4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52EC00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074018"/>
    <w:multiLevelType w:val="multilevel"/>
    <w:tmpl w:val="2716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E5781"/>
    <w:multiLevelType w:val="multilevel"/>
    <w:tmpl w:val="7C7C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872785">
    <w:abstractNumId w:val="1"/>
  </w:num>
  <w:num w:numId="2" w16cid:durableId="356199599">
    <w:abstractNumId w:val="6"/>
  </w:num>
  <w:num w:numId="3" w16cid:durableId="1090390528">
    <w:abstractNumId w:val="10"/>
  </w:num>
  <w:num w:numId="4" w16cid:durableId="1283536861">
    <w:abstractNumId w:val="7"/>
  </w:num>
  <w:num w:numId="5" w16cid:durableId="2142578963">
    <w:abstractNumId w:val="9"/>
  </w:num>
  <w:num w:numId="6" w16cid:durableId="372535910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71633101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1202673541">
    <w:abstractNumId w:val="11"/>
  </w:num>
  <w:num w:numId="9" w16cid:durableId="1266617084">
    <w:abstractNumId w:val="5"/>
  </w:num>
  <w:num w:numId="10" w16cid:durableId="1578398786">
    <w:abstractNumId w:val="3"/>
  </w:num>
  <w:num w:numId="11" w16cid:durableId="1666468408">
    <w:abstractNumId w:val="8"/>
  </w:num>
  <w:num w:numId="12" w16cid:durableId="507985603">
    <w:abstractNumId w:val="0"/>
  </w:num>
  <w:num w:numId="13" w16cid:durableId="38283283">
    <w:abstractNumId w:val="12"/>
  </w:num>
  <w:num w:numId="14" w16cid:durableId="1960912688">
    <w:abstractNumId w:val="4"/>
  </w:num>
  <w:num w:numId="15" w16cid:durableId="1846330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4E1"/>
    <w:rsid w:val="000A0521"/>
    <w:rsid w:val="002C1783"/>
    <w:rsid w:val="005424E1"/>
    <w:rsid w:val="005803BC"/>
    <w:rsid w:val="00843F88"/>
    <w:rsid w:val="00A65383"/>
    <w:rsid w:val="00A8675C"/>
    <w:rsid w:val="00C12CFD"/>
    <w:rsid w:val="00C63A4F"/>
    <w:rsid w:val="00C95CA0"/>
    <w:rsid w:val="00CE4520"/>
    <w:rsid w:val="00E166C3"/>
    <w:rsid w:val="00EC1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BF234"/>
  <w15:chartTrackingRefBased/>
  <w15:docId w15:val="{869D4E67-6600-436B-94F1-7ACF67524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2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42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2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2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2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2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2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2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2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42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42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2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24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24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24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24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24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24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2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2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2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2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2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24E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424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2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24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24E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424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24E1"/>
  </w:style>
  <w:style w:type="paragraph" w:styleId="Piedepgina">
    <w:name w:val="footer"/>
    <w:basedOn w:val="Normal"/>
    <w:link w:val="PiedepginaCar"/>
    <w:uiPriority w:val="99"/>
    <w:unhideWhenUsed/>
    <w:rsid w:val="005424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2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1157</Words>
  <Characters>6365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2025-11-21T17:51:00Z</dcterms:created>
  <dcterms:modified xsi:type="dcterms:W3CDTF">2026-01-14T14:24:00Z</dcterms:modified>
</cp:coreProperties>
</file>