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9D255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50B6C764" w14:textId="27176457" w:rsidR="00880F2F" w:rsidRPr="0055384B" w:rsidRDefault="00880F2F" w:rsidP="0055384B">
      <w:pPr>
        <w:numPr>
          <w:ilvl w:val="0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Política Comercial Común:</w:t>
      </w:r>
    </w:p>
    <w:p w14:paraId="0F0C303B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Base jurídica: Tratado de Roma (1957).</w:t>
      </w:r>
    </w:p>
    <w:p w14:paraId="61A3064C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Objetivo: Desarrollo armónico del comercio mundial, apertura de mercados e integración de países en desarrollo.</w:t>
      </w:r>
    </w:p>
    <w:p w14:paraId="46357AA9" w14:textId="2056ED26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Competencia exclusiva de la UE</w:t>
      </w:r>
      <w:r w:rsidR="00D928F0" w:rsidRPr="0055384B">
        <w:rPr>
          <w:rFonts w:ascii="Cambria" w:hAnsi="Cambria"/>
        </w:rPr>
        <w:t>.</w:t>
      </w:r>
    </w:p>
    <w:p w14:paraId="0CAF7233" w14:textId="77777777" w:rsidR="00880F2F" w:rsidRPr="0055384B" w:rsidRDefault="00880F2F" w:rsidP="0055384B">
      <w:pPr>
        <w:numPr>
          <w:ilvl w:val="0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Impacto del Tratado de Lisboa (2009):</w:t>
      </w:r>
    </w:p>
    <w:p w14:paraId="41BCC8F9" w14:textId="31D33FED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Artículo 207 TFUE:</w:t>
      </w:r>
      <w:r w:rsidRPr="0055384B">
        <w:rPr>
          <w:rFonts w:ascii="Cambria" w:hAnsi="Cambria"/>
        </w:rPr>
        <w:t xml:space="preserve"> Amplía la definición de PCC incluyendo servicios, propiedad intelectual e Inversión Extranjera Directa.</w:t>
      </w:r>
    </w:p>
    <w:p w14:paraId="0276C603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Toma de decisiones:</w:t>
      </w:r>
      <w:r w:rsidRPr="0055384B">
        <w:rPr>
          <w:rFonts w:ascii="Cambria" w:hAnsi="Cambria"/>
        </w:rPr>
        <w:t xml:space="preserve"> La regla general pasa a ser la mayoría cualificada en el Consejo (la unanimidad es excepcional).</w:t>
      </w:r>
    </w:p>
    <w:p w14:paraId="2197147E" w14:textId="3CD0B373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IED:</w:t>
      </w:r>
      <w:r w:rsidRPr="0055384B">
        <w:rPr>
          <w:rFonts w:ascii="Cambria" w:hAnsi="Cambria"/>
        </w:rPr>
        <w:t xml:space="preserve"> Sustitución progresiva de los</w:t>
      </w:r>
      <w:r w:rsidR="00D928F0" w:rsidRPr="0055384B">
        <w:rPr>
          <w:rFonts w:ascii="Cambria" w:hAnsi="Cambria"/>
        </w:rPr>
        <w:t xml:space="preserve"> </w:t>
      </w:r>
      <w:r w:rsidRPr="0055384B">
        <w:rPr>
          <w:rFonts w:ascii="Cambria" w:hAnsi="Cambria"/>
        </w:rPr>
        <w:t>APPRI por acuerdos de la UE.</w:t>
      </w:r>
    </w:p>
    <w:p w14:paraId="3BF9F07B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Parlamento Europeo:</w:t>
      </w:r>
      <w:r w:rsidRPr="0055384B">
        <w:rPr>
          <w:rFonts w:ascii="Cambria" w:hAnsi="Cambria"/>
        </w:rPr>
        <w:t xml:space="preserve"> Adquiere poder de codecisión (igualdad con el Consejo) en legislación y ratificación de acuerdos.</w:t>
      </w:r>
    </w:p>
    <w:p w14:paraId="7E8B6CD5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Comitología:</w:t>
      </w:r>
      <w:r w:rsidRPr="0055384B">
        <w:rPr>
          <w:rFonts w:ascii="Cambria" w:hAnsi="Cambria"/>
        </w:rPr>
        <w:t xml:space="preserve"> La Comisión ejecuta decisiones, desapareciendo la figura del Consejo en la ejecución salvo excepciones justificadas.</w:t>
      </w:r>
    </w:p>
    <w:p w14:paraId="45DB1287" w14:textId="795B238B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Institucional:</w:t>
      </w:r>
      <w:r w:rsidRPr="0055384B">
        <w:rPr>
          <w:rFonts w:ascii="Cambria" w:hAnsi="Cambria"/>
        </w:rPr>
        <w:t xml:space="preserve"> Figura del Alto Representante y el Servicio Europeo de Acción Exterior para mayor coherencia.</w:t>
      </w:r>
    </w:p>
    <w:p w14:paraId="0062954C" w14:textId="77777777" w:rsidR="00880F2F" w:rsidRPr="0055384B" w:rsidRDefault="00880F2F" w:rsidP="0055384B">
      <w:pPr>
        <w:numPr>
          <w:ilvl w:val="0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Pilares de la PCC:</w:t>
      </w:r>
    </w:p>
    <w:p w14:paraId="61062653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Relaciones bilaterales y multilaterales (OMC, OCDE).</w:t>
      </w:r>
    </w:p>
    <w:p w14:paraId="43F93451" w14:textId="77777777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Medidas arancelarias y regímenes de importación/exportación.</w:t>
      </w:r>
    </w:p>
    <w:p w14:paraId="4A58DA72" w14:textId="322B2900" w:rsidR="00880F2F" w:rsidRPr="0055384B" w:rsidRDefault="00880F2F" w:rsidP="0055384B">
      <w:pPr>
        <w:numPr>
          <w:ilvl w:val="1"/>
          <w:numId w:val="1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 xml:space="preserve">Instrumentos de Defensa Comercial y lucha contra obstáculos </w:t>
      </w:r>
    </w:p>
    <w:p w14:paraId="4DC12B25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t>2. CLÁUSULAS DE SALVAGUARDIA</w:t>
      </w:r>
    </w:p>
    <w:p w14:paraId="06A0FB38" w14:textId="77777777" w:rsidR="00880F2F" w:rsidRPr="0055384B" w:rsidRDefault="00880F2F" w:rsidP="0055384B">
      <w:pPr>
        <w:jc w:val="both"/>
        <w:rPr>
          <w:rFonts w:ascii="Cambria" w:hAnsi="Cambria"/>
        </w:rPr>
      </w:pPr>
      <w:r w:rsidRPr="0055384B">
        <w:rPr>
          <w:rFonts w:ascii="Cambria" w:hAnsi="Cambria"/>
        </w:rPr>
        <w:t>Medidas de defensa ante un incremento de importaciones que cause o amenace causar un perjuicio grave a los productores comunitarios. Suelen implicar restricciones cuantitativas.</w:t>
      </w:r>
    </w:p>
    <w:p w14:paraId="68D23F79" w14:textId="589B5F8C" w:rsidR="00880F2F" w:rsidRPr="0055384B" w:rsidRDefault="00880F2F" w:rsidP="0055384B">
      <w:pPr>
        <w:numPr>
          <w:ilvl w:val="0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 xml:space="preserve">Medidas previas </w:t>
      </w:r>
      <w:r w:rsidR="007717A0" w:rsidRPr="0055384B">
        <w:rPr>
          <w:rFonts w:ascii="Cambria" w:hAnsi="Cambria"/>
          <w:b/>
          <w:bCs/>
        </w:rPr>
        <w:t>de v</w:t>
      </w:r>
      <w:r w:rsidRPr="0055384B">
        <w:rPr>
          <w:rFonts w:ascii="Cambria" w:hAnsi="Cambria"/>
          <w:b/>
          <w:bCs/>
        </w:rPr>
        <w:t>igilancia:</w:t>
      </w:r>
    </w:p>
    <w:p w14:paraId="64DA04A2" w14:textId="77777777" w:rsidR="00880F2F" w:rsidRPr="0055384B" w:rsidRDefault="00880F2F" w:rsidP="0055384B">
      <w:pPr>
        <w:numPr>
          <w:ilvl w:val="1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Se adoptan ante la sospecha de amenaza de perjuicio.</w:t>
      </w:r>
    </w:p>
    <w:p w14:paraId="1AF0A879" w14:textId="77777777" w:rsidR="00880F2F" w:rsidRPr="0055384B" w:rsidRDefault="00880F2F" w:rsidP="0055384B">
      <w:pPr>
        <w:numPr>
          <w:ilvl w:val="1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Requisito: Presentación de un Documento de Vigilancia Comunitaria (puede ser de doble control).</w:t>
      </w:r>
    </w:p>
    <w:p w14:paraId="1D7BF9D5" w14:textId="77777777" w:rsidR="00880F2F" w:rsidRPr="0055384B" w:rsidRDefault="00880F2F" w:rsidP="0055384B">
      <w:pPr>
        <w:numPr>
          <w:ilvl w:val="1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lastRenderedPageBreak/>
        <w:t>Adopción: Por la Comisión Europea.</w:t>
      </w:r>
    </w:p>
    <w:p w14:paraId="382C2BFB" w14:textId="77777777" w:rsidR="00880F2F" w:rsidRPr="0055384B" w:rsidRDefault="00880F2F" w:rsidP="0055384B">
      <w:pPr>
        <w:numPr>
          <w:ilvl w:val="0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Proceso de adopción:</w:t>
      </w:r>
    </w:p>
    <w:p w14:paraId="11A02097" w14:textId="77777777" w:rsidR="00880F2F" w:rsidRPr="0055384B" w:rsidRDefault="00880F2F" w:rsidP="0055384B">
      <w:pPr>
        <w:numPr>
          <w:ilvl w:val="1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Solicitud:</w:t>
      </w:r>
      <w:r w:rsidRPr="0055384B">
        <w:rPr>
          <w:rFonts w:ascii="Cambria" w:hAnsi="Cambria"/>
        </w:rPr>
        <w:t xml:space="preserve"> Por los Estados Miembros a la Comisión.</w:t>
      </w:r>
    </w:p>
    <w:p w14:paraId="470F039E" w14:textId="77777777" w:rsidR="00880F2F" w:rsidRPr="0055384B" w:rsidRDefault="00880F2F" w:rsidP="0055384B">
      <w:pPr>
        <w:numPr>
          <w:ilvl w:val="1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Investigación:</w:t>
      </w:r>
    </w:p>
    <w:p w14:paraId="260A982C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Publicación de apertura en el DOUE.</w:t>
      </w:r>
    </w:p>
    <w:p w14:paraId="7F7C864E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Análisis de factores: Volumen y precio de importaciones, impacto en productores UE (cuota de mercado, empleo, beneficios).</w:t>
      </w:r>
    </w:p>
    <w:p w14:paraId="6739529F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En caso de amenaza: Capacidad exportadora del país de origen e incremento de ventas.</w:t>
      </w:r>
    </w:p>
    <w:p w14:paraId="1D239A5F" w14:textId="77777777" w:rsidR="00880F2F" w:rsidRPr="0055384B" w:rsidRDefault="00880F2F" w:rsidP="0055384B">
      <w:pPr>
        <w:numPr>
          <w:ilvl w:val="1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Adopción de medidas (Plazo máx. 9 meses):</w:t>
      </w:r>
    </w:p>
    <w:p w14:paraId="79E5E49B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Vigilancia:</w:t>
      </w:r>
      <w:r w:rsidRPr="0055384B">
        <w:rPr>
          <w:rFonts w:ascii="Cambria" w:hAnsi="Cambria"/>
        </w:rPr>
        <w:t xml:space="preserve"> Reglamento de la Comisión (validez limitada).</w:t>
      </w:r>
    </w:p>
    <w:p w14:paraId="0380140F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Salvaguardia definitiva:</w:t>
      </w:r>
      <w:r w:rsidRPr="0055384B">
        <w:rPr>
          <w:rFonts w:ascii="Cambria" w:hAnsi="Cambria"/>
        </w:rPr>
        <w:t xml:space="preserve"> Propuesta de la Comisión y aprobación del Consejo por mayoría cualificada.</w:t>
      </w:r>
    </w:p>
    <w:p w14:paraId="638E3FC4" w14:textId="5742CDF3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Salvaguardia provisional:</w:t>
      </w:r>
      <w:r w:rsidRPr="0055384B">
        <w:rPr>
          <w:rFonts w:ascii="Cambria" w:hAnsi="Cambria"/>
        </w:rPr>
        <w:t xml:space="preserve"> Casos críticos (</w:t>
      </w:r>
      <w:proofErr w:type="spellStart"/>
      <w:r w:rsidRPr="0055384B">
        <w:rPr>
          <w:rFonts w:ascii="Cambria" w:hAnsi="Cambria"/>
        </w:rPr>
        <w:t>max</w:t>
      </w:r>
      <w:proofErr w:type="spellEnd"/>
      <w:r w:rsidRPr="0055384B">
        <w:rPr>
          <w:rFonts w:ascii="Cambria" w:hAnsi="Cambria"/>
        </w:rPr>
        <w:t>. 200 días)</w:t>
      </w:r>
    </w:p>
    <w:p w14:paraId="63312482" w14:textId="77777777" w:rsidR="00880F2F" w:rsidRPr="0055384B" w:rsidRDefault="00880F2F" w:rsidP="0055384B">
      <w:pPr>
        <w:numPr>
          <w:ilvl w:val="2"/>
          <w:numId w:val="3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Regional:</w:t>
      </w:r>
      <w:r w:rsidRPr="0055384B">
        <w:rPr>
          <w:rFonts w:ascii="Cambria" w:hAnsi="Cambria"/>
        </w:rPr>
        <w:t xml:space="preserve"> Aplicación restringida a determinados Estados Miembros.</w:t>
      </w:r>
    </w:p>
    <w:p w14:paraId="6F52750D" w14:textId="77777777" w:rsidR="00880F2F" w:rsidRPr="0055384B" w:rsidRDefault="00880F2F" w:rsidP="0055384B">
      <w:pPr>
        <w:numPr>
          <w:ilvl w:val="0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Legislación aplicable:</w:t>
      </w:r>
    </w:p>
    <w:p w14:paraId="49616E28" w14:textId="77777777" w:rsidR="00880F2F" w:rsidRPr="0055384B" w:rsidRDefault="00880F2F" w:rsidP="0055384B">
      <w:pPr>
        <w:numPr>
          <w:ilvl w:val="1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Reglamentos (UE) 2015/477 (efecto combinado), 2015/478 (régimen común) y 2015/755 (determinados terceros países).</w:t>
      </w:r>
    </w:p>
    <w:p w14:paraId="39CBC6E1" w14:textId="77777777" w:rsidR="00880F2F" w:rsidRPr="0055384B" w:rsidRDefault="00880F2F" w:rsidP="0055384B">
      <w:pPr>
        <w:numPr>
          <w:ilvl w:val="1"/>
          <w:numId w:val="2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Acuerdo sobre Salvaguardias de la OMC.</w:t>
      </w:r>
    </w:p>
    <w:p w14:paraId="5999711D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t>3. MEDIDAS ANTIDUMPING</w:t>
      </w:r>
    </w:p>
    <w:p w14:paraId="6E955B65" w14:textId="77777777" w:rsidR="00880F2F" w:rsidRPr="0055384B" w:rsidRDefault="00880F2F" w:rsidP="0055384B">
      <w:pPr>
        <w:jc w:val="both"/>
        <w:rPr>
          <w:rFonts w:ascii="Cambria" w:hAnsi="Cambria"/>
        </w:rPr>
      </w:pPr>
      <w:r w:rsidRPr="0055384B">
        <w:rPr>
          <w:rFonts w:ascii="Cambria" w:hAnsi="Cambria"/>
        </w:rPr>
        <w:t>Defensa contra el dumping (práctica desleal donde el precio de exportación es inferior al valor normal en el país de origen).</w:t>
      </w:r>
    </w:p>
    <w:p w14:paraId="72E0272D" w14:textId="77777777" w:rsidR="00880F2F" w:rsidRPr="0055384B" w:rsidRDefault="00880F2F" w:rsidP="0055384B">
      <w:pPr>
        <w:numPr>
          <w:ilvl w:val="0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Procedimiento de adopción:</w:t>
      </w:r>
    </w:p>
    <w:p w14:paraId="1C4BE25C" w14:textId="77777777" w:rsidR="00880F2F" w:rsidRPr="0055384B" w:rsidRDefault="00880F2F" w:rsidP="0055384B">
      <w:pPr>
        <w:numPr>
          <w:ilvl w:val="1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Denuncia:</w:t>
      </w:r>
    </w:p>
    <w:p w14:paraId="2637A463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Presentada por la industria comunitaria (o EEMM) ante la Comisión.</w:t>
      </w:r>
    </w:p>
    <w:p w14:paraId="3FAA2FF3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Requisito: Los denunciantes deben representar al menos el 25% de la producción comunitaria.</w:t>
      </w:r>
    </w:p>
    <w:p w14:paraId="7EFE49C7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Examen de admisión: 45 días.</w:t>
      </w:r>
    </w:p>
    <w:p w14:paraId="7C614296" w14:textId="77777777" w:rsidR="00880F2F" w:rsidRPr="0055384B" w:rsidRDefault="00880F2F" w:rsidP="0055384B">
      <w:pPr>
        <w:numPr>
          <w:ilvl w:val="1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lastRenderedPageBreak/>
        <w:t>Investigación (Plazo máx. 14 meses):</w:t>
      </w:r>
    </w:p>
    <w:p w14:paraId="3A4478E4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Publicación en DOUE.</w:t>
      </w:r>
    </w:p>
    <w:p w14:paraId="6FDE9B2A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Cuestionarios y visitas in situ a productores y exportadores.</w:t>
      </w:r>
    </w:p>
    <w:p w14:paraId="49F3A061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Elementos clave a determinar:</w:t>
      </w:r>
    </w:p>
    <w:p w14:paraId="225C8879" w14:textId="77777777" w:rsidR="00880F2F" w:rsidRPr="0055384B" w:rsidRDefault="00880F2F" w:rsidP="0055384B">
      <w:pPr>
        <w:numPr>
          <w:ilvl w:val="3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Margen de dumping (diferencia precio exportación vs valor normal).</w:t>
      </w:r>
    </w:p>
    <w:p w14:paraId="52EC5EA0" w14:textId="77777777" w:rsidR="00880F2F" w:rsidRPr="0055384B" w:rsidRDefault="00880F2F" w:rsidP="0055384B">
      <w:pPr>
        <w:numPr>
          <w:ilvl w:val="3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Perjuicio importante a la industria de la UE.</w:t>
      </w:r>
    </w:p>
    <w:p w14:paraId="50F703B4" w14:textId="77777777" w:rsidR="00880F2F" w:rsidRPr="0055384B" w:rsidRDefault="00880F2F" w:rsidP="0055384B">
      <w:pPr>
        <w:numPr>
          <w:ilvl w:val="3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Vínculo causal entre dumping y perjuicio.</w:t>
      </w:r>
    </w:p>
    <w:p w14:paraId="2F55F997" w14:textId="52303CFC" w:rsidR="00880F2F" w:rsidRPr="0055384B" w:rsidRDefault="00880F2F" w:rsidP="0055384B">
      <w:pPr>
        <w:numPr>
          <w:ilvl w:val="3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Interés de la Unión</w:t>
      </w:r>
    </w:p>
    <w:p w14:paraId="1054F099" w14:textId="77777777" w:rsidR="00880F2F" w:rsidRPr="0055384B" w:rsidRDefault="00880F2F" w:rsidP="0055384B">
      <w:pPr>
        <w:numPr>
          <w:ilvl w:val="1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Medidas Provisionales:</w:t>
      </w:r>
    </w:p>
    <w:p w14:paraId="259ECFC9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Adopción por la Comisión tras consulta (o urgencia).</w:t>
      </w:r>
    </w:p>
    <w:p w14:paraId="58962052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Plazo de imposición: Entre 60 días y 9 meses desde inicio.</w:t>
      </w:r>
    </w:p>
    <w:p w14:paraId="1262BC83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Duración: Generalmente 6 meses (+3 de prórroga).</w:t>
      </w:r>
    </w:p>
    <w:p w14:paraId="70E6B572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Garantía: Los importadores depositan fianza.</w:t>
      </w:r>
    </w:p>
    <w:p w14:paraId="5DCBB7AB" w14:textId="77777777" w:rsidR="00880F2F" w:rsidRPr="0055384B" w:rsidRDefault="00880F2F" w:rsidP="0055384B">
      <w:pPr>
        <w:numPr>
          <w:ilvl w:val="1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Medidas Definitivas:</w:t>
      </w:r>
    </w:p>
    <w:p w14:paraId="6B5212A1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Propuesta de la Comisión, adoptada salvo oposición de mayoría cualificada de EEMM.</w:t>
      </w:r>
    </w:p>
    <w:p w14:paraId="46A19FD3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Duración: 5 años.</w:t>
      </w:r>
    </w:p>
    <w:p w14:paraId="417D4CE0" w14:textId="77777777" w:rsidR="00880F2F" w:rsidRPr="0055384B" w:rsidRDefault="00880F2F" w:rsidP="0055384B">
      <w:pPr>
        <w:numPr>
          <w:ilvl w:val="2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 xml:space="preserve">Forma: Derechos ad </w:t>
      </w:r>
      <w:proofErr w:type="spellStart"/>
      <w:r w:rsidRPr="0055384B">
        <w:rPr>
          <w:rFonts w:ascii="Cambria" w:hAnsi="Cambria"/>
        </w:rPr>
        <w:t>valorem</w:t>
      </w:r>
      <w:proofErr w:type="spellEnd"/>
      <w:r w:rsidRPr="0055384B">
        <w:rPr>
          <w:rFonts w:ascii="Cambria" w:hAnsi="Cambria"/>
        </w:rPr>
        <w:t>, específicos o Compromisos de Precios (el exportador sube el precio voluntariamente).</w:t>
      </w:r>
    </w:p>
    <w:p w14:paraId="7EFB0470" w14:textId="6FB6A775" w:rsidR="00880F2F" w:rsidRPr="0055384B" w:rsidRDefault="00880F2F" w:rsidP="0055384B">
      <w:pPr>
        <w:numPr>
          <w:ilvl w:val="0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Reconsideración de medidas:</w:t>
      </w:r>
    </w:p>
    <w:p w14:paraId="7EE63F6F" w14:textId="77777777" w:rsidR="00880F2F" w:rsidRPr="0055384B" w:rsidRDefault="00880F2F" w:rsidP="0055384B">
      <w:pPr>
        <w:numPr>
          <w:ilvl w:val="1"/>
          <w:numId w:val="5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Por expiración (a los 5 años).</w:t>
      </w:r>
    </w:p>
    <w:p w14:paraId="621C842D" w14:textId="77777777" w:rsidR="00880F2F" w:rsidRPr="0055384B" w:rsidRDefault="00880F2F" w:rsidP="0055384B">
      <w:pPr>
        <w:numPr>
          <w:ilvl w:val="1"/>
          <w:numId w:val="5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Provisional (cambio de circunstancias).</w:t>
      </w:r>
    </w:p>
    <w:p w14:paraId="7B07A01D" w14:textId="77777777" w:rsidR="00880F2F" w:rsidRPr="0055384B" w:rsidRDefault="00880F2F" w:rsidP="0055384B">
      <w:pPr>
        <w:numPr>
          <w:ilvl w:val="1"/>
          <w:numId w:val="5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Nuevo exportador (no exportó en el periodo inicial).</w:t>
      </w:r>
    </w:p>
    <w:p w14:paraId="6E967CB5" w14:textId="77777777" w:rsidR="00880F2F" w:rsidRPr="0055384B" w:rsidRDefault="00880F2F" w:rsidP="0055384B">
      <w:pPr>
        <w:numPr>
          <w:ilvl w:val="1"/>
          <w:numId w:val="5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Por absorción (el exportador asume el derecho sin subir precios).</w:t>
      </w:r>
    </w:p>
    <w:p w14:paraId="1E3B157B" w14:textId="77777777" w:rsidR="00880F2F" w:rsidRPr="0055384B" w:rsidRDefault="00880F2F" w:rsidP="0055384B">
      <w:pPr>
        <w:numPr>
          <w:ilvl w:val="1"/>
          <w:numId w:val="5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Por elusión (cambio de origen o producto para evitar la tasa).</w:t>
      </w:r>
    </w:p>
    <w:p w14:paraId="5BB3CE8C" w14:textId="77777777" w:rsidR="00880F2F" w:rsidRPr="0055384B" w:rsidRDefault="00880F2F" w:rsidP="0055384B">
      <w:pPr>
        <w:numPr>
          <w:ilvl w:val="0"/>
          <w:numId w:val="4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Legislación:</w:t>
      </w:r>
      <w:r w:rsidRPr="0055384B">
        <w:rPr>
          <w:rFonts w:ascii="Cambria" w:hAnsi="Cambria"/>
        </w:rPr>
        <w:t xml:space="preserve"> Reglamento (UE) 2016/1036 y Acuerdo Art. VI del GATT.</w:t>
      </w:r>
    </w:p>
    <w:p w14:paraId="1C07B9E9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lastRenderedPageBreak/>
        <w:t>4. MEDIDAS ANTISUBVENCIÓN</w:t>
      </w:r>
    </w:p>
    <w:p w14:paraId="6F73EC72" w14:textId="77777777" w:rsidR="00880F2F" w:rsidRPr="0055384B" w:rsidRDefault="00880F2F" w:rsidP="0055384B">
      <w:pPr>
        <w:jc w:val="both"/>
        <w:rPr>
          <w:rFonts w:ascii="Cambria" w:hAnsi="Cambria"/>
        </w:rPr>
      </w:pPr>
      <w:r w:rsidRPr="0055384B">
        <w:rPr>
          <w:rFonts w:ascii="Cambria" w:hAnsi="Cambria"/>
        </w:rPr>
        <w:t>Defensa contra importaciones que reciben ayudas públicas (directas o indirectas) en origen no permitidas por la OMC.</w:t>
      </w:r>
    </w:p>
    <w:p w14:paraId="12BC0243" w14:textId="3C8F1A30" w:rsidR="00880F2F" w:rsidRPr="0055384B" w:rsidRDefault="00880F2F" w:rsidP="0055384B">
      <w:pPr>
        <w:numPr>
          <w:ilvl w:val="0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Procedimiento:</w:t>
      </w:r>
      <w:r w:rsidRPr="0055384B">
        <w:rPr>
          <w:rFonts w:ascii="Cambria" w:hAnsi="Cambria"/>
        </w:rPr>
        <w:t xml:space="preserve"> Similar al antidumping.</w:t>
      </w:r>
      <w:r w:rsidR="00D928F0" w:rsidRPr="0055384B">
        <w:rPr>
          <w:rFonts w:ascii="Cambria" w:hAnsi="Cambria"/>
        </w:rPr>
        <w:t xml:space="preserve"> </w:t>
      </w:r>
      <w:r w:rsidRPr="0055384B">
        <w:rPr>
          <w:rFonts w:ascii="Cambria" w:hAnsi="Cambria"/>
        </w:rPr>
        <w:t>Plazo máx</w:t>
      </w:r>
      <w:r w:rsidR="00D928F0" w:rsidRPr="0055384B">
        <w:rPr>
          <w:rFonts w:ascii="Cambria" w:hAnsi="Cambria"/>
        </w:rPr>
        <w:t>.</w:t>
      </w:r>
      <w:r w:rsidRPr="0055384B">
        <w:rPr>
          <w:rFonts w:ascii="Cambria" w:hAnsi="Cambria"/>
        </w:rPr>
        <w:t xml:space="preserve"> de </w:t>
      </w:r>
      <w:r w:rsidRPr="0055384B">
        <w:rPr>
          <w:rFonts w:ascii="Cambria" w:hAnsi="Cambria"/>
          <w:b/>
          <w:bCs/>
        </w:rPr>
        <w:t>13 meses</w:t>
      </w:r>
      <w:r w:rsidRPr="0055384B">
        <w:rPr>
          <w:rFonts w:ascii="Cambria" w:hAnsi="Cambria"/>
        </w:rPr>
        <w:t>.</w:t>
      </w:r>
    </w:p>
    <w:p w14:paraId="51AF77BD" w14:textId="77777777" w:rsidR="00880F2F" w:rsidRPr="0055384B" w:rsidRDefault="00880F2F" w:rsidP="0055384B">
      <w:pPr>
        <w:numPr>
          <w:ilvl w:val="0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Determinación de la subvención:</w:t>
      </w:r>
    </w:p>
    <w:p w14:paraId="53917EBA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Naturaleza:</w:t>
      </w:r>
      <w:r w:rsidRPr="0055384B">
        <w:rPr>
          <w:rFonts w:ascii="Cambria" w:hAnsi="Cambria"/>
        </w:rPr>
        <w:t xml:space="preserve"> Debe haber contribución financiera pública (donación, préstamo blando, exención fiscal) y otorgar un beneficio.</w:t>
      </w:r>
    </w:p>
    <w:p w14:paraId="0FB78316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Especificidad:</w:t>
      </w:r>
      <w:r w:rsidRPr="0055384B">
        <w:rPr>
          <w:rFonts w:ascii="Cambria" w:hAnsi="Cambria"/>
        </w:rPr>
        <w:t xml:space="preserve"> La ayuda debe ser específica (limitada a una empresa, sector o a la exportación). No son sancionables ayudas generales o ciertas ayudas verdes/I+D.</w:t>
      </w:r>
    </w:p>
    <w:p w14:paraId="0E2C8A7C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Cálculo:</w:t>
      </w:r>
      <w:r w:rsidRPr="0055384B">
        <w:rPr>
          <w:rFonts w:ascii="Cambria" w:hAnsi="Cambria"/>
        </w:rPr>
        <w:t xml:space="preserve"> Beneficio por unidad durante el periodo de investigación.</w:t>
      </w:r>
    </w:p>
    <w:p w14:paraId="5DC95FF5" w14:textId="77777777" w:rsidR="00880F2F" w:rsidRPr="0055384B" w:rsidRDefault="00880F2F" w:rsidP="0055384B">
      <w:pPr>
        <w:numPr>
          <w:ilvl w:val="0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Tipos de Medidas:</w:t>
      </w:r>
    </w:p>
    <w:p w14:paraId="11731A97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Provisionales:</w:t>
      </w:r>
      <w:r w:rsidRPr="0055384B">
        <w:rPr>
          <w:rFonts w:ascii="Cambria" w:hAnsi="Cambria"/>
        </w:rPr>
        <w:t xml:space="preserve"> Duración máxima de </w:t>
      </w:r>
      <w:r w:rsidRPr="0055384B">
        <w:rPr>
          <w:rFonts w:ascii="Cambria" w:hAnsi="Cambria"/>
          <w:b/>
          <w:bCs/>
        </w:rPr>
        <w:t>4 meses</w:t>
      </w:r>
      <w:r w:rsidRPr="0055384B">
        <w:rPr>
          <w:rFonts w:ascii="Cambria" w:hAnsi="Cambria"/>
        </w:rPr>
        <w:t>. No pueden exceder el importe de la subvención.</w:t>
      </w:r>
    </w:p>
    <w:p w14:paraId="07CFCB81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Definitivas:</w:t>
      </w:r>
      <w:r w:rsidRPr="0055384B">
        <w:rPr>
          <w:rFonts w:ascii="Cambria" w:hAnsi="Cambria"/>
        </w:rPr>
        <w:t xml:space="preserve"> Adoptadas por la Comisión (salvo bloqueo del Consejo). Duración de 5 años.</w:t>
      </w:r>
    </w:p>
    <w:p w14:paraId="49BED3A1" w14:textId="77777777" w:rsidR="00880F2F" w:rsidRPr="0055384B" w:rsidRDefault="00880F2F" w:rsidP="0055384B">
      <w:pPr>
        <w:numPr>
          <w:ilvl w:val="1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Compromisos:</w:t>
      </w:r>
      <w:r w:rsidRPr="0055384B">
        <w:rPr>
          <w:rFonts w:ascii="Cambria" w:hAnsi="Cambria"/>
        </w:rPr>
        <w:t xml:space="preserve"> El país de origen o exportador limita la subvención o sube precios.</w:t>
      </w:r>
    </w:p>
    <w:p w14:paraId="38C99112" w14:textId="77777777" w:rsidR="00880F2F" w:rsidRPr="0055384B" w:rsidRDefault="00880F2F" w:rsidP="0055384B">
      <w:pPr>
        <w:numPr>
          <w:ilvl w:val="0"/>
          <w:numId w:val="6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Legislación:</w:t>
      </w:r>
      <w:r w:rsidRPr="0055384B">
        <w:rPr>
          <w:rFonts w:ascii="Cambria" w:hAnsi="Cambria"/>
        </w:rPr>
        <w:t xml:space="preserve"> Reglamento (UE) 2016/1037 y Acuerdo sobre Subvenciones de la OMC.</w:t>
      </w:r>
    </w:p>
    <w:p w14:paraId="27CF2141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t>5. REGLAMENTO DE OBSTÁCULOS AL COMERCIO (ROC)</w:t>
      </w:r>
    </w:p>
    <w:p w14:paraId="503B798D" w14:textId="70C9A626" w:rsidR="00880F2F" w:rsidRPr="0055384B" w:rsidRDefault="00880F2F" w:rsidP="0055384B">
      <w:pPr>
        <w:jc w:val="both"/>
        <w:rPr>
          <w:rFonts w:ascii="Cambria" w:hAnsi="Cambria"/>
        </w:rPr>
      </w:pPr>
      <w:r w:rsidRPr="0055384B">
        <w:rPr>
          <w:rFonts w:ascii="Cambria" w:hAnsi="Cambria"/>
        </w:rPr>
        <w:t>Reglamento 2015/1843</w:t>
      </w:r>
      <w:r w:rsidR="007717A0" w:rsidRPr="0055384B">
        <w:rPr>
          <w:rFonts w:ascii="Cambria" w:hAnsi="Cambria"/>
        </w:rPr>
        <w:t xml:space="preserve"> </w:t>
      </w:r>
      <w:r w:rsidRPr="0055384B">
        <w:rPr>
          <w:rFonts w:ascii="Cambria" w:hAnsi="Cambria"/>
        </w:rPr>
        <w:t>que permite a empresas y EEMM denunciar prácticas de</w:t>
      </w:r>
      <w:r w:rsidR="007717A0" w:rsidRPr="0055384B">
        <w:rPr>
          <w:rFonts w:ascii="Cambria" w:hAnsi="Cambria"/>
        </w:rPr>
        <w:t xml:space="preserve"> TTPP </w:t>
      </w:r>
      <w:r w:rsidRPr="0055384B">
        <w:rPr>
          <w:rFonts w:ascii="Cambria" w:hAnsi="Cambria"/>
        </w:rPr>
        <w:t>que violen normas comerciales internacionales (OMC o bilaterales).</w:t>
      </w:r>
    </w:p>
    <w:p w14:paraId="14B3063E" w14:textId="77777777" w:rsidR="00880F2F" w:rsidRPr="0055384B" w:rsidRDefault="00880F2F" w:rsidP="0055384B">
      <w:pPr>
        <w:numPr>
          <w:ilvl w:val="0"/>
          <w:numId w:val="7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Diferencias con Antidumping/</w:t>
      </w:r>
      <w:proofErr w:type="spellStart"/>
      <w:r w:rsidRPr="0055384B">
        <w:rPr>
          <w:rFonts w:ascii="Cambria" w:hAnsi="Cambria"/>
          <w:b/>
          <w:bCs/>
        </w:rPr>
        <w:t>Antisubvención</w:t>
      </w:r>
      <w:proofErr w:type="spellEnd"/>
      <w:r w:rsidRPr="0055384B">
        <w:rPr>
          <w:rFonts w:ascii="Cambria" w:hAnsi="Cambria"/>
          <w:b/>
          <w:bCs/>
        </w:rPr>
        <w:t>:</w:t>
      </w:r>
    </w:p>
    <w:p w14:paraId="33034134" w14:textId="77777777" w:rsidR="00880F2F" w:rsidRPr="0055384B" w:rsidRDefault="00880F2F" w:rsidP="0055384B">
      <w:pPr>
        <w:numPr>
          <w:ilvl w:val="1"/>
          <w:numId w:val="7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Denunciantes:</w:t>
      </w:r>
      <w:r w:rsidRPr="0055384B">
        <w:rPr>
          <w:rFonts w:ascii="Cambria" w:hAnsi="Cambria"/>
        </w:rPr>
        <w:t xml:space="preserve"> Más amplio. Puede ser una sola empresa o un sector, sin umbral del 25%.</w:t>
      </w:r>
    </w:p>
    <w:p w14:paraId="1EE94913" w14:textId="77777777" w:rsidR="00880F2F" w:rsidRPr="0055384B" w:rsidRDefault="00880F2F" w:rsidP="0055384B">
      <w:pPr>
        <w:numPr>
          <w:ilvl w:val="1"/>
          <w:numId w:val="7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Objeto:</w:t>
      </w:r>
      <w:r w:rsidRPr="0055384B">
        <w:rPr>
          <w:rFonts w:ascii="Cambria" w:hAnsi="Cambria"/>
        </w:rPr>
        <w:t xml:space="preserve"> Eliminar barreras en mercados extranjeros (no solo proteger el mercado UE).</w:t>
      </w:r>
    </w:p>
    <w:p w14:paraId="76A527EE" w14:textId="77777777" w:rsidR="00880F2F" w:rsidRPr="0055384B" w:rsidRDefault="00880F2F" w:rsidP="0055384B">
      <w:pPr>
        <w:numPr>
          <w:ilvl w:val="0"/>
          <w:numId w:val="7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Procedimiento:</w:t>
      </w:r>
    </w:p>
    <w:p w14:paraId="38F9C0FC" w14:textId="77777777" w:rsidR="00880F2F" w:rsidRPr="0055384B" w:rsidRDefault="00880F2F" w:rsidP="0055384B">
      <w:pPr>
        <w:numPr>
          <w:ilvl w:val="1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Presentación de Denuncia:</w:t>
      </w:r>
    </w:p>
    <w:p w14:paraId="606D5032" w14:textId="77777777" w:rsidR="00880F2F" w:rsidRPr="0055384B" w:rsidRDefault="00880F2F" w:rsidP="0055384B">
      <w:pPr>
        <w:numPr>
          <w:ilvl w:val="2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Debe probar la existencia de la barrera y el perjuicio o efectos comerciales adversos.</w:t>
      </w:r>
    </w:p>
    <w:p w14:paraId="5CAA8766" w14:textId="77777777" w:rsidR="00880F2F" w:rsidRPr="0055384B" w:rsidRDefault="00880F2F" w:rsidP="0055384B">
      <w:pPr>
        <w:numPr>
          <w:ilvl w:val="2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lastRenderedPageBreak/>
        <w:t>Afectación a la economía de la UE, región o sector.</w:t>
      </w:r>
    </w:p>
    <w:p w14:paraId="151929DA" w14:textId="77777777" w:rsidR="00880F2F" w:rsidRPr="0055384B" w:rsidRDefault="00880F2F" w:rsidP="0055384B">
      <w:pPr>
        <w:numPr>
          <w:ilvl w:val="1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Examen de admisibilidad:</w:t>
      </w:r>
      <w:r w:rsidRPr="0055384B">
        <w:rPr>
          <w:rFonts w:ascii="Cambria" w:hAnsi="Cambria"/>
        </w:rPr>
        <w:t xml:space="preserve"> 45 días.</w:t>
      </w:r>
    </w:p>
    <w:p w14:paraId="016742DA" w14:textId="77777777" w:rsidR="00880F2F" w:rsidRPr="0055384B" w:rsidRDefault="00880F2F" w:rsidP="0055384B">
      <w:pPr>
        <w:numPr>
          <w:ilvl w:val="1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Investigación:</w:t>
      </w:r>
      <w:r w:rsidRPr="0055384B">
        <w:rPr>
          <w:rFonts w:ascii="Cambria" w:hAnsi="Cambria"/>
        </w:rPr>
        <w:t xml:space="preserve"> Formal (5-7 meses). Informe a los EEMM.</w:t>
      </w:r>
    </w:p>
    <w:p w14:paraId="717C5093" w14:textId="77777777" w:rsidR="00880F2F" w:rsidRPr="0055384B" w:rsidRDefault="00880F2F" w:rsidP="0055384B">
      <w:pPr>
        <w:numPr>
          <w:ilvl w:val="1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Solución de Diferencias:</w:t>
      </w:r>
    </w:p>
    <w:p w14:paraId="492C1E20" w14:textId="58EC65E6" w:rsidR="00880F2F" w:rsidRPr="0055384B" w:rsidRDefault="00880F2F" w:rsidP="0055384B">
      <w:pPr>
        <w:numPr>
          <w:ilvl w:val="2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 xml:space="preserve">Si no hay solución amistosa, la UE inicia litigio internacional </w:t>
      </w:r>
    </w:p>
    <w:p w14:paraId="3C8C8745" w14:textId="77777777" w:rsidR="00880F2F" w:rsidRPr="0055384B" w:rsidRDefault="00880F2F" w:rsidP="0055384B">
      <w:pPr>
        <w:numPr>
          <w:ilvl w:val="1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Adopción de medidas:</w:t>
      </w:r>
    </w:p>
    <w:p w14:paraId="762E2D24" w14:textId="426EFF1B" w:rsidR="00880F2F" w:rsidRPr="0055384B" w:rsidRDefault="00880F2F" w:rsidP="0055384B">
      <w:pPr>
        <w:numPr>
          <w:ilvl w:val="2"/>
          <w:numId w:val="8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Si el tercer país no cumple tras el fallo, el Consejo puede adoptar medidas de retorsión</w:t>
      </w:r>
      <w:r w:rsidR="007717A0" w:rsidRPr="0055384B">
        <w:rPr>
          <w:rFonts w:ascii="Cambria" w:hAnsi="Cambria"/>
        </w:rPr>
        <w:t>.</w:t>
      </w:r>
    </w:p>
    <w:p w14:paraId="6486BE6E" w14:textId="77777777" w:rsidR="00880F2F" w:rsidRPr="0055384B" w:rsidRDefault="00880F2F" w:rsidP="0055384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5384B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204461A6" w14:textId="77777777" w:rsidR="00880F2F" w:rsidRPr="0055384B" w:rsidRDefault="00880F2F" w:rsidP="0055384B">
      <w:pPr>
        <w:numPr>
          <w:ilvl w:val="0"/>
          <w:numId w:val="9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Contexto de uso creciente como armas comerciales por economías no totalmente liberalizadas.</w:t>
      </w:r>
    </w:p>
    <w:p w14:paraId="7A62CF0E" w14:textId="77777777" w:rsidR="00880F2F" w:rsidRPr="0055384B" w:rsidRDefault="00880F2F" w:rsidP="0055384B">
      <w:pPr>
        <w:numPr>
          <w:ilvl w:val="0"/>
          <w:numId w:val="9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Medidas recientes de la UE:</w:t>
      </w:r>
    </w:p>
    <w:p w14:paraId="3BAE3D4E" w14:textId="77777777" w:rsidR="00880F2F" w:rsidRPr="0055384B" w:rsidRDefault="00880F2F" w:rsidP="0055384B">
      <w:pPr>
        <w:numPr>
          <w:ilvl w:val="1"/>
          <w:numId w:val="9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>Antidumping en paneles solares (China) y productos siderúrgicos (acero de China, Rusia, Brasil).</w:t>
      </w:r>
    </w:p>
    <w:p w14:paraId="26729E7F" w14:textId="77777777" w:rsidR="00880F2F" w:rsidRPr="0055384B" w:rsidRDefault="00880F2F" w:rsidP="0055384B">
      <w:pPr>
        <w:numPr>
          <w:ilvl w:val="0"/>
          <w:numId w:val="9"/>
        </w:numPr>
        <w:jc w:val="both"/>
        <w:rPr>
          <w:rFonts w:ascii="Cambria" w:hAnsi="Cambria"/>
        </w:rPr>
      </w:pPr>
      <w:r w:rsidRPr="0055384B">
        <w:rPr>
          <w:rFonts w:ascii="Cambria" w:hAnsi="Cambria"/>
          <w:b/>
          <w:bCs/>
        </w:rPr>
        <w:t>Represalias de terceros:</w:t>
      </w:r>
    </w:p>
    <w:p w14:paraId="16373AB7" w14:textId="77777777" w:rsidR="00880F2F" w:rsidRPr="0055384B" w:rsidRDefault="00880F2F" w:rsidP="0055384B">
      <w:pPr>
        <w:numPr>
          <w:ilvl w:val="1"/>
          <w:numId w:val="9"/>
        </w:numPr>
        <w:jc w:val="both"/>
        <w:rPr>
          <w:rFonts w:ascii="Cambria" w:hAnsi="Cambria"/>
        </w:rPr>
      </w:pPr>
      <w:r w:rsidRPr="0055384B">
        <w:rPr>
          <w:rFonts w:ascii="Cambria" w:hAnsi="Cambria"/>
        </w:rPr>
        <w:t xml:space="preserve">Investigaciones de China sobre vinos europeos (respuesta </w:t>
      </w:r>
      <w:proofErr w:type="spellStart"/>
      <w:r w:rsidRPr="0055384B">
        <w:rPr>
          <w:rFonts w:ascii="Cambria" w:hAnsi="Cambria"/>
        </w:rPr>
        <w:t>a caso</w:t>
      </w:r>
      <w:proofErr w:type="spellEnd"/>
      <w:r w:rsidRPr="0055384B">
        <w:rPr>
          <w:rFonts w:ascii="Cambria" w:hAnsi="Cambria"/>
        </w:rPr>
        <w:t xml:space="preserve"> paneles solares).</w:t>
      </w:r>
    </w:p>
    <w:p w14:paraId="31323FF1" w14:textId="77777777" w:rsidR="00A65383" w:rsidRPr="0055384B" w:rsidRDefault="00A65383" w:rsidP="0055384B">
      <w:pPr>
        <w:jc w:val="both"/>
        <w:rPr>
          <w:rFonts w:ascii="Cambria" w:hAnsi="Cambria"/>
        </w:rPr>
      </w:pPr>
    </w:p>
    <w:sectPr w:rsidR="00A65383" w:rsidRPr="0055384B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D96A9" w14:textId="77777777" w:rsidR="00880F2F" w:rsidRDefault="00880F2F" w:rsidP="00880F2F">
      <w:pPr>
        <w:spacing w:after="0" w:line="240" w:lineRule="auto"/>
      </w:pPr>
      <w:r>
        <w:separator/>
      </w:r>
    </w:p>
  </w:endnote>
  <w:endnote w:type="continuationSeparator" w:id="0">
    <w:p w14:paraId="29B1C7E7" w14:textId="77777777" w:rsidR="00880F2F" w:rsidRDefault="00880F2F" w:rsidP="00880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9EC0B" w14:textId="77777777" w:rsidR="00880F2F" w:rsidRDefault="00880F2F" w:rsidP="00880F2F">
      <w:pPr>
        <w:spacing w:after="0" w:line="240" w:lineRule="auto"/>
      </w:pPr>
      <w:r>
        <w:separator/>
      </w:r>
    </w:p>
  </w:footnote>
  <w:footnote w:type="continuationSeparator" w:id="0">
    <w:p w14:paraId="0845BE52" w14:textId="77777777" w:rsidR="00880F2F" w:rsidRDefault="00880F2F" w:rsidP="00880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F6250" w14:textId="1C40AC34" w:rsidR="00880F2F" w:rsidRPr="00880F2F" w:rsidRDefault="00880F2F" w:rsidP="00880F2F">
    <w:pPr>
      <w:pStyle w:val="Encabezado"/>
      <w:jc w:val="both"/>
      <w:rPr>
        <w:rFonts w:ascii="Palatino Linotype" w:hAnsi="Palatino Linotype"/>
        <w:i/>
        <w:iCs/>
      </w:rPr>
    </w:pPr>
    <w:r w:rsidRPr="00880F2F">
      <w:rPr>
        <w:rFonts w:ascii="Palatino Linotype" w:hAnsi="Palatino Linotype"/>
        <w:b/>
        <w:bCs/>
        <w:i/>
        <w:iCs/>
      </w:rPr>
      <w:t>TEMA 25 -</w:t>
    </w:r>
    <w:r w:rsidRPr="00880F2F">
      <w:rPr>
        <w:rFonts w:ascii="Palatino Linotype" w:hAnsi="Palatino Linotype"/>
        <w:i/>
        <w:iCs/>
      </w:rPr>
      <w:t xml:space="preserve"> Instrumentos de defensa comercial: cláusulas de salvaguardia. Medidas antidumping. Medidas </w:t>
    </w:r>
    <w:proofErr w:type="spellStart"/>
    <w:r w:rsidRPr="00880F2F">
      <w:rPr>
        <w:rFonts w:ascii="Palatino Linotype" w:hAnsi="Palatino Linotype"/>
        <w:i/>
        <w:iCs/>
      </w:rPr>
      <w:t>antisubvención</w:t>
    </w:r>
    <w:proofErr w:type="spellEnd"/>
    <w:r w:rsidRPr="00880F2F">
      <w:rPr>
        <w:rFonts w:ascii="Palatino Linotype" w:hAnsi="Palatino Linotype"/>
        <w:i/>
        <w:iCs/>
      </w:rPr>
      <w:t>. Reglamento de obstáculos comerciales (ROC): Definición. Función. Procedimiento.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9765D"/>
    <w:multiLevelType w:val="multilevel"/>
    <w:tmpl w:val="2044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2969FD"/>
    <w:multiLevelType w:val="multilevel"/>
    <w:tmpl w:val="A2A8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6072D"/>
    <w:multiLevelType w:val="multilevel"/>
    <w:tmpl w:val="DB98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A49F2"/>
    <w:multiLevelType w:val="multilevel"/>
    <w:tmpl w:val="3FEC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8C0E5C"/>
    <w:multiLevelType w:val="multilevel"/>
    <w:tmpl w:val="2D86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57B94"/>
    <w:multiLevelType w:val="multilevel"/>
    <w:tmpl w:val="4CA4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926E7"/>
    <w:multiLevelType w:val="hybridMultilevel"/>
    <w:tmpl w:val="36F254F2"/>
    <w:lvl w:ilvl="0" w:tplc="36FE3E0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842F1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087E0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31EB4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A0C2A9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330712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67EDAB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56A54D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B0EF11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EB49F9"/>
    <w:multiLevelType w:val="hybridMultilevel"/>
    <w:tmpl w:val="1122BF56"/>
    <w:lvl w:ilvl="0" w:tplc="C3BA6FC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E5A4F9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222E4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DD5CD49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C926E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F66367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540D2B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8220ED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FF03D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027188">
    <w:abstractNumId w:val="0"/>
  </w:num>
  <w:num w:numId="2" w16cid:durableId="99683467">
    <w:abstractNumId w:val="4"/>
  </w:num>
  <w:num w:numId="3" w16cid:durableId="263342389">
    <w:abstractNumId w:val="6"/>
  </w:num>
  <w:num w:numId="4" w16cid:durableId="1431925324">
    <w:abstractNumId w:val="2"/>
  </w:num>
  <w:num w:numId="5" w16cid:durableId="1838035462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1708486852">
    <w:abstractNumId w:val="5"/>
  </w:num>
  <w:num w:numId="7" w16cid:durableId="616912207">
    <w:abstractNumId w:val="3"/>
  </w:num>
  <w:num w:numId="8" w16cid:durableId="2138839095">
    <w:abstractNumId w:val="7"/>
  </w:num>
  <w:num w:numId="9" w16cid:durableId="12117685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2F"/>
    <w:rsid w:val="0055384B"/>
    <w:rsid w:val="005803BC"/>
    <w:rsid w:val="007717A0"/>
    <w:rsid w:val="00880F2F"/>
    <w:rsid w:val="00895E95"/>
    <w:rsid w:val="00963B80"/>
    <w:rsid w:val="00A65383"/>
    <w:rsid w:val="00A8675C"/>
    <w:rsid w:val="00C12CFD"/>
    <w:rsid w:val="00D928F0"/>
    <w:rsid w:val="00DE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CCC75"/>
  <w15:chartTrackingRefBased/>
  <w15:docId w15:val="{D150B7EB-486A-4867-98ED-AAC5C1AC9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0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0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0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0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0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0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0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0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0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80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0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0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0F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0F2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0F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0F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0F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0F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0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0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0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0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0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0F2F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80F2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0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0F2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0F2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80F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80F2F"/>
  </w:style>
  <w:style w:type="paragraph" w:styleId="Piedepgina">
    <w:name w:val="footer"/>
    <w:basedOn w:val="Normal"/>
    <w:link w:val="PiedepginaCar"/>
    <w:uiPriority w:val="99"/>
    <w:unhideWhenUsed/>
    <w:rsid w:val="00880F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80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929</Words>
  <Characters>5115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2025-11-21T18:00:00Z</dcterms:created>
  <dcterms:modified xsi:type="dcterms:W3CDTF">2026-01-14T14:25:00Z</dcterms:modified>
</cp:coreProperties>
</file>