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C89F2" w14:textId="77777777" w:rsidR="005D079E" w:rsidRPr="007F03C4" w:rsidRDefault="005D079E" w:rsidP="007F03C4">
      <w:pPr>
        <w:pStyle w:val="Ttulo1"/>
        <w:jc w:val="both"/>
        <w:rPr>
          <w:rFonts w:ascii="Cambria" w:hAnsi="Cambria"/>
          <w:b/>
          <w:bCs/>
          <w:color w:val="auto"/>
          <w:sz w:val="28"/>
          <w:szCs w:val="28"/>
        </w:rPr>
      </w:pPr>
      <w:r w:rsidRPr="007F03C4">
        <w:rPr>
          <w:rFonts w:ascii="Cambria" w:hAnsi="Cambria"/>
          <w:b/>
          <w:bCs/>
          <w:color w:val="auto"/>
          <w:sz w:val="28"/>
          <w:szCs w:val="28"/>
        </w:rPr>
        <w:t>1. INTRODUCCIÓN</w:t>
      </w:r>
    </w:p>
    <w:p w14:paraId="30C61A5A" w14:textId="2E0CD52F" w:rsidR="006026D4" w:rsidRPr="007F03C4" w:rsidRDefault="006026D4" w:rsidP="007F03C4">
      <w:pPr>
        <w:jc w:val="both"/>
        <w:rPr>
          <w:rFonts w:ascii="Cambria" w:hAnsi="Cambria"/>
        </w:rPr>
      </w:pPr>
      <w:r w:rsidRPr="007F03C4">
        <w:rPr>
          <w:rFonts w:ascii="Cambria" w:hAnsi="Cambria"/>
        </w:rPr>
        <w:t>Crecimiento del c</w:t>
      </w:r>
      <w:r w:rsidR="005D079E" w:rsidRPr="007F03C4">
        <w:rPr>
          <w:rFonts w:ascii="Cambria" w:hAnsi="Cambria"/>
        </w:rPr>
        <w:t>omercio internacional por</w:t>
      </w:r>
      <w:r w:rsidRPr="007F03C4">
        <w:rPr>
          <w:rFonts w:ascii="Cambria" w:hAnsi="Cambria"/>
        </w:rPr>
        <w:t>:</w:t>
      </w:r>
    </w:p>
    <w:p w14:paraId="2464D4E5" w14:textId="4CF49DE7" w:rsidR="005D079E" w:rsidRPr="007F03C4" w:rsidRDefault="006026D4" w:rsidP="007F03C4">
      <w:pPr>
        <w:pStyle w:val="Prrafodelista"/>
        <w:numPr>
          <w:ilvl w:val="0"/>
          <w:numId w:val="13"/>
        </w:numPr>
        <w:jc w:val="both"/>
        <w:rPr>
          <w:rFonts w:ascii="Cambria" w:hAnsi="Cambria"/>
        </w:rPr>
      </w:pPr>
      <w:r w:rsidRPr="007F03C4">
        <w:rPr>
          <w:rFonts w:ascii="Cambria" w:hAnsi="Cambria"/>
        </w:rPr>
        <w:t>A</w:t>
      </w:r>
      <w:r w:rsidR="005D079E" w:rsidRPr="007F03C4">
        <w:rPr>
          <w:rFonts w:ascii="Cambria" w:hAnsi="Cambria"/>
        </w:rPr>
        <w:t>vance tecnológico, la mejora en comunicaciones y transporte, y la proliferación de iniciativas de integración regional y compromisos</w:t>
      </w:r>
      <w:r w:rsidRPr="007F03C4">
        <w:rPr>
          <w:rFonts w:ascii="Cambria" w:hAnsi="Cambria"/>
        </w:rPr>
        <w:t xml:space="preserve"> </w:t>
      </w:r>
      <w:r w:rsidR="005D079E" w:rsidRPr="007F03C4">
        <w:rPr>
          <w:rFonts w:ascii="Cambria" w:hAnsi="Cambria"/>
        </w:rPr>
        <w:t>multilaterales de liberalización.</w:t>
      </w:r>
    </w:p>
    <w:p w14:paraId="237C5CA2" w14:textId="77777777" w:rsidR="006026D4" w:rsidRPr="007F03C4" w:rsidRDefault="006026D4" w:rsidP="007F03C4">
      <w:pPr>
        <w:pStyle w:val="Prrafodelista"/>
        <w:ind w:left="1068"/>
        <w:jc w:val="both"/>
        <w:rPr>
          <w:rFonts w:ascii="Cambria" w:hAnsi="Cambria"/>
        </w:rPr>
      </w:pPr>
    </w:p>
    <w:p w14:paraId="33B5BA70" w14:textId="679658CA" w:rsidR="006026D4" w:rsidRPr="007F03C4" w:rsidRDefault="007F03C4" w:rsidP="007F03C4">
      <w:pPr>
        <w:spacing w:before="240"/>
        <w:jc w:val="both"/>
        <w:rPr>
          <w:rFonts w:ascii="Cambria" w:hAnsi="Cambria"/>
        </w:rPr>
      </w:pPr>
      <w:r w:rsidRPr="007F03C4">
        <w:rPr>
          <w:rFonts w:ascii="Cambria" w:hAnsi="Cambria"/>
        </w:rPr>
        <w:t>C</w:t>
      </w:r>
      <w:r w:rsidR="006026D4" w:rsidRPr="007F03C4">
        <w:rPr>
          <w:rFonts w:ascii="Cambria" w:hAnsi="Cambria"/>
        </w:rPr>
        <w:t>omplejidad (</w:t>
      </w:r>
      <w:proofErr w:type="spellStart"/>
      <w:r w:rsidR="006026D4" w:rsidRPr="007F03C4">
        <w:rPr>
          <w:rFonts w:ascii="Cambria" w:hAnsi="Cambria"/>
        </w:rPr>
        <w:t>OTCs</w:t>
      </w:r>
      <w:proofErr w:type="spellEnd"/>
      <w:r w:rsidR="006026D4" w:rsidRPr="007F03C4">
        <w:rPr>
          <w:rFonts w:ascii="Cambria" w:hAnsi="Cambria"/>
        </w:rPr>
        <w:t>)</w:t>
      </w:r>
      <w:r w:rsidRPr="007F03C4">
        <w:rPr>
          <w:rFonts w:ascii="Cambria" w:hAnsi="Cambria"/>
        </w:rPr>
        <w:t>:</w:t>
      </w:r>
    </w:p>
    <w:p w14:paraId="4B480FB6" w14:textId="7BAFE1AF" w:rsidR="005D079E" w:rsidRPr="007F03C4" w:rsidRDefault="006026D4" w:rsidP="007F03C4">
      <w:pPr>
        <w:pStyle w:val="Prrafodelista"/>
        <w:numPr>
          <w:ilvl w:val="0"/>
          <w:numId w:val="13"/>
        </w:numPr>
        <w:jc w:val="both"/>
        <w:rPr>
          <w:rFonts w:ascii="Cambria" w:hAnsi="Cambria"/>
        </w:rPr>
      </w:pPr>
      <w:r w:rsidRPr="007F03C4">
        <w:rPr>
          <w:rFonts w:ascii="Cambria" w:hAnsi="Cambria"/>
        </w:rPr>
        <w:t>D</w:t>
      </w:r>
      <w:r w:rsidR="005D079E" w:rsidRPr="007F03C4">
        <w:rPr>
          <w:rFonts w:ascii="Cambria" w:hAnsi="Cambria"/>
        </w:rPr>
        <w:t>esarrollo de fórmulas proteccionistas no arancelarias. Las reglamentaciones técnicas, normas y procedimientos de evaluación de la conformidad, que varían entre países.</w:t>
      </w:r>
    </w:p>
    <w:p w14:paraId="268F8DA3" w14:textId="77777777" w:rsidR="005D079E" w:rsidRPr="007F03C4" w:rsidRDefault="005D079E" w:rsidP="007F03C4">
      <w:pPr>
        <w:pStyle w:val="Ttulo1"/>
        <w:jc w:val="both"/>
        <w:rPr>
          <w:rFonts w:ascii="Cambria" w:hAnsi="Cambria"/>
          <w:b/>
          <w:bCs/>
          <w:color w:val="auto"/>
          <w:sz w:val="28"/>
          <w:szCs w:val="28"/>
        </w:rPr>
      </w:pPr>
      <w:r w:rsidRPr="007F03C4">
        <w:rPr>
          <w:rFonts w:ascii="Cambria" w:hAnsi="Cambria"/>
          <w:b/>
          <w:bCs/>
          <w:color w:val="auto"/>
          <w:sz w:val="28"/>
          <w:szCs w:val="28"/>
        </w:rPr>
        <w:t>2. IDENTIFICACIÓN Y CARACTERIZACIÓN DE BARRERAS COMERCIALES</w:t>
      </w:r>
    </w:p>
    <w:p w14:paraId="6C397BDB" w14:textId="77777777" w:rsidR="005D079E" w:rsidRPr="007F03C4" w:rsidRDefault="005D079E" w:rsidP="007F03C4">
      <w:pPr>
        <w:pStyle w:val="Ttulo2"/>
        <w:jc w:val="both"/>
        <w:rPr>
          <w:rFonts w:ascii="Cambria" w:hAnsi="Cambria"/>
          <w:b/>
          <w:bCs/>
          <w:color w:val="auto"/>
          <w:sz w:val="24"/>
          <w:szCs w:val="24"/>
        </w:rPr>
      </w:pPr>
      <w:r w:rsidRPr="007F03C4">
        <w:rPr>
          <w:rFonts w:ascii="Cambria" w:hAnsi="Cambria"/>
          <w:b/>
          <w:bCs/>
          <w:color w:val="auto"/>
          <w:sz w:val="24"/>
          <w:szCs w:val="24"/>
        </w:rPr>
        <w:t>2.1. Definición y Requisitos</w:t>
      </w:r>
    </w:p>
    <w:p w14:paraId="745171FF" w14:textId="77777777" w:rsidR="005D079E" w:rsidRPr="007F03C4" w:rsidRDefault="005D079E" w:rsidP="007F03C4">
      <w:pPr>
        <w:jc w:val="both"/>
        <w:rPr>
          <w:rFonts w:ascii="Cambria" w:hAnsi="Cambria"/>
        </w:rPr>
      </w:pPr>
      <w:r w:rsidRPr="007F03C4">
        <w:rPr>
          <w:rFonts w:ascii="Cambria" w:hAnsi="Cambria"/>
        </w:rPr>
        <w:t>No existe una definición única universal, pero se considera barrera comercial a toda acción o medida que:</w:t>
      </w:r>
    </w:p>
    <w:p w14:paraId="738F4423" w14:textId="77777777" w:rsidR="005D079E" w:rsidRPr="007F03C4" w:rsidRDefault="005D079E" w:rsidP="007F03C4">
      <w:pPr>
        <w:numPr>
          <w:ilvl w:val="0"/>
          <w:numId w:val="1"/>
        </w:numPr>
        <w:jc w:val="both"/>
        <w:rPr>
          <w:rFonts w:ascii="Cambria" w:hAnsi="Cambria"/>
        </w:rPr>
      </w:pPr>
      <w:r w:rsidRPr="007F03C4">
        <w:rPr>
          <w:rFonts w:ascii="Cambria" w:hAnsi="Cambria"/>
        </w:rPr>
        <w:t>Proteja a los productos nacionales frente a la competencia exterior.</w:t>
      </w:r>
    </w:p>
    <w:p w14:paraId="5A35E055" w14:textId="77777777" w:rsidR="005D079E" w:rsidRPr="007F03C4" w:rsidRDefault="005D079E" w:rsidP="007F03C4">
      <w:pPr>
        <w:numPr>
          <w:ilvl w:val="0"/>
          <w:numId w:val="1"/>
        </w:numPr>
        <w:jc w:val="both"/>
        <w:rPr>
          <w:rFonts w:ascii="Cambria" w:hAnsi="Cambria"/>
        </w:rPr>
      </w:pPr>
      <w:r w:rsidRPr="007F03C4">
        <w:rPr>
          <w:rFonts w:ascii="Cambria" w:hAnsi="Cambria"/>
        </w:rPr>
        <w:t>Dificulte las importaciones.</w:t>
      </w:r>
    </w:p>
    <w:p w14:paraId="5FEC1330" w14:textId="77777777" w:rsidR="005D079E" w:rsidRPr="007F03C4" w:rsidRDefault="005D079E" w:rsidP="007F03C4">
      <w:pPr>
        <w:numPr>
          <w:ilvl w:val="0"/>
          <w:numId w:val="1"/>
        </w:numPr>
        <w:jc w:val="both"/>
        <w:rPr>
          <w:rFonts w:ascii="Cambria" w:hAnsi="Cambria"/>
        </w:rPr>
      </w:pPr>
      <w:r w:rsidRPr="007F03C4">
        <w:rPr>
          <w:rFonts w:ascii="Cambria" w:hAnsi="Cambria"/>
        </w:rPr>
        <w:t>Estimule artificialmente las exportaciones.</w:t>
      </w:r>
    </w:p>
    <w:p w14:paraId="7EA9115E" w14:textId="77777777" w:rsidR="005D079E" w:rsidRPr="007F03C4" w:rsidRDefault="005D079E" w:rsidP="007F03C4">
      <w:pPr>
        <w:jc w:val="both"/>
        <w:rPr>
          <w:rFonts w:ascii="Cambria" w:hAnsi="Cambria"/>
        </w:rPr>
      </w:pPr>
      <w:r w:rsidRPr="007F03C4">
        <w:rPr>
          <w:rFonts w:ascii="Cambria" w:hAnsi="Cambria"/>
        </w:rPr>
        <w:t>Para ser considerada barrera, un problema comercial debe cumplir dos requisitos:</w:t>
      </w:r>
    </w:p>
    <w:p w14:paraId="370C49CC" w14:textId="77777777" w:rsidR="005D079E" w:rsidRPr="007F03C4" w:rsidRDefault="005D079E" w:rsidP="007F03C4">
      <w:pPr>
        <w:numPr>
          <w:ilvl w:val="0"/>
          <w:numId w:val="2"/>
        </w:numPr>
        <w:jc w:val="both"/>
        <w:rPr>
          <w:rFonts w:ascii="Cambria" w:hAnsi="Cambria"/>
        </w:rPr>
      </w:pPr>
      <w:r w:rsidRPr="007F03C4">
        <w:rPr>
          <w:rFonts w:ascii="Cambria" w:hAnsi="Cambria"/>
        </w:rPr>
        <w:t>Derivar de una acción o medida oficial (administración central, regional o local).</w:t>
      </w:r>
    </w:p>
    <w:p w14:paraId="6D77DA51" w14:textId="77777777" w:rsidR="005D079E" w:rsidRPr="007F03C4" w:rsidRDefault="005D079E" w:rsidP="007F03C4">
      <w:pPr>
        <w:numPr>
          <w:ilvl w:val="0"/>
          <w:numId w:val="2"/>
        </w:numPr>
        <w:jc w:val="both"/>
        <w:rPr>
          <w:rFonts w:ascii="Cambria" w:hAnsi="Cambria"/>
        </w:rPr>
      </w:pPr>
      <w:r w:rsidRPr="007F03C4">
        <w:rPr>
          <w:rFonts w:ascii="Cambria" w:hAnsi="Cambria"/>
        </w:rPr>
        <w:t>Suponer una limitación o carga para el libre comercio.</w:t>
      </w:r>
    </w:p>
    <w:p w14:paraId="29FF5302" w14:textId="77777777" w:rsidR="005D079E" w:rsidRPr="007F03C4" w:rsidRDefault="005D079E" w:rsidP="007F03C4">
      <w:pPr>
        <w:jc w:val="both"/>
        <w:rPr>
          <w:rFonts w:ascii="Cambria" w:hAnsi="Cambria"/>
        </w:rPr>
      </w:pPr>
      <w:r w:rsidRPr="007F03C4">
        <w:rPr>
          <w:rFonts w:ascii="Cambria" w:hAnsi="Cambria"/>
        </w:rPr>
        <w:t>No se consideran barreras las exigencias privadas del importador, hábitos de consumo o reglamentaciones severas si están motivadas, justificadas y no son discriminatorias ni arbitrarias.</w:t>
      </w:r>
    </w:p>
    <w:p w14:paraId="432037B0" w14:textId="77777777" w:rsidR="005D079E" w:rsidRPr="007F03C4" w:rsidRDefault="005D079E" w:rsidP="007F03C4">
      <w:pPr>
        <w:pStyle w:val="Ttulo2"/>
        <w:jc w:val="both"/>
        <w:rPr>
          <w:rFonts w:ascii="Cambria" w:hAnsi="Cambria"/>
          <w:b/>
          <w:bCs/>
          <w:color w:val="auto"/>
          <w:sz w:val="24"/>
          <w:szCs w:val="24"/>
        </w:rPr>
      </w:pPr>
      <w:r w:rsidRPr="007F03C4">
        <w:rPr>
          <w:rFonts w:ascii="Cambria" w:hAnsi="Cambria"/>
          <w:b/>
          <w:bCs/>
          <w:color w:val="auto"/>
          <w:sz w:val="24"/>
          <w:szCs w:val="24"/>
        </w:rPr>
        <w:t>2.2. Clasificación de Obstáculos Comerciales</w:t>
      </w:r>
    </w:p>
    <w:p w14:paraId="46052B1C" w14:textId="079E51ED" w:rsidR="005D079E" w:rsidRPr="007F03C4" w:rsidRDefault="005D079E" w:rsidP="007F03C4">
      <w:pPr>
        <w:jc w:val="both"/>
        <w:rPr>
          <w:rFonts w:ascii="Cambria" w:hAnsi="Cambria"/>
          <w:u w:val="single"/>
        </w:rPr>
      </w:pPr>
      <w:r w:rsidRPr="007F03C4">
        <w:rPr>
          <w:rFonts w:ascii="Cambria" w:hAnsi="Cambria"/>
          <w:b/>
          <w:bCs/>
          <w:u w:val="single"/>
        </w:rPr>
        <w:t>Clasificación de Acuerdos Internacionales (GATT, UNCTAD, OCDE)</w:t>
      </w:r>
    </w:p>
    <w:p w14:paraId="4F53B8A6" w14:textId="77777777" w:rsidR="005D079E" w:rsidRPr="007F03C4" w:rsidRDefault="005D079E" w:rsidP="007F03C4">
      <w:pPr>
        <w:numPr>
          <w:ilvl w:val="0"/>
          <w:numId w:val="3"/>
        </w:numPr>
        <w:jc w:val="both"/>
        <w:rPr>
          <w:rFonts w:ascii="Cambria" w:hAnsi="Cambria"/>
        </w:rPr>
      </w:pPr>
      <w:r w:rsidRPr="007F03C4">
        <w:rPr>
          <w:rFonts w:ascii="Cambria" w:hAnsi="Cambria"/>
          <w:b/>
          <w:bCs/>
        </w:rPr>
        <w:t>Barreras Arancelarias:</w:t>
      </w:r>
    </w:p>
    <w:p w14:paraId="59DF8C39" w14:textId="77777777" w:rsidR="005D079E" w:rsidRPr="007F03C4" w:rsidRDefault="005D079E" w:rsidP="007F03C4">
      <w:pPr>
        <w:numPr>
          <w:ilvl w:val="1"/>
          <w:numId w:val="3"/>
        </w:numPr>
        <w:jc w:val="both"/>
        <w:rPr>
          <w:rFonts w:ascii="Cambria" w:hAnsi="Cambria"/>
        </w:rPr>
      </w:pPr>
      <w:r w:rsidRPr="007F03C4">
        <w:rPr>
          <w:rFonts w:ascii="Cambria" w:hAnsi="Cambria"/>
        </w:rPr>
        <w:t>Derechos de aduana: Instrumento proteccionista clásico.</w:t>
      </w:r>
    </w:p>
    <w:p w14:paraId="70135154" w14:textId="77777777" w:rsidR="005D079E" w:rsidRPr="007F03C4" w:rsidRDefault="005D079E" w:rsidP="007F03C4">
      <w:pPr>
        <w:numPr>
          <w:ilvl w:val="1"/>
          <w:numId w:val="3"/>
        </w:numPr>
        <w:jc w:val="both"/>
        <w:rPr>
          <w:rFonts w:ascii="Cambria" w:hAnsi="Cambria"/>
        </w:rPr>
      </w:pPr>
      <w:r w:rsidRPr="007F03C4">
        <w:rPr>
          <w:rFonts w:ascii="Cambria" w:hAnsi="Cambria"/>
        </w:rPr>
        <w:lastRenderedPageBreak/>
        <w:t>Tasas de efecto equivalente.</w:t>
      </w:r>
    </w:p>
    <w:p w14:paraId="3023EF90" w14:textId="77777777" w:rsidR="005D079E" w:rsidRPr="007F03C4" w:rsidRDefault="005D079E" w:rsidP="007F03C4">
      <w:pPr>
        <w:numPr>
          <w:ilvl w:val="1"/>
          <w:numId w:val="3"/>
        </w:numPr>
        <w:jc w:val="both"/>
        <w:rPr>
          <w:rFonts w:ascii="Cambria" w:hAnsi="Cambria"/>
        </w:rPr>
      </w:pPr>
      <w:r w:rsidRPr="007F03C4">
        <w:rPr>
          <w:rFonts w:ascii="Cambria" w:hAnsi="Cambria"/>
        </w:rPr>
        <w:t>Imposiciones de naturaleza fiscal.</w:t>
      </w:r>
    </w:p>
    <w:p w14:paraId="6DAA3E74" w14:textId="77777777" w:rsidR="005D079E" w:rsidRPr="007F03C4" w:rsidRDefault="005D079E" w:rsidP="007F03C4">
      <w:pPr>
        <w:numPr>
          <w:ilvl w:val="0"/>
          <w:numId w:val="3"/>
        </w:numPr>
        <w:jc w:val="both"/>
        <w:rPr>
          <w:rFonts w:ascii="Cambria" w:hAnsi="Cambria"/>
        </w:rPr>
      </w:pPr>
      <w:r w:rsidRPr="007F03C4">
        <w:rPr>
          <w:rFonts w:ascii="Cambria" w:hAnsi="Cambria"/>
          <w:b/>
          <w:bCs/>
        </w:rPr>
        <w:t>Barreras no Arancelarias:</w:t>
      </w:r>
    </w:p>
    <w:p w14:paraId="372ACB7F" w14:textId="77777777" w:rsidR="005D079E" w:rsidRPr="007F03C4" w:rsidRDefault="005D079E" w:rsidP="007F03C4">
      <w:pPr>
        <w:numPr>
          <w:ilvl w:val="1"/>
          <w:numId w:val="3"/>
        </w:numPr>
        <w:jc w:val="both"/>
        <w:rPr>
          <w:rFonts w:ascii="Cambria" w:hAnsi="Cambria"/>
        </w:rPr>
      </w:pPr>
      <w:r w:rsidRPr="007F03C4">
        <w:rPr>
          <w:rFonts w:ascii="Cambria" w:hAnsi="Cambria"/>
        </w:rPr>
        <w:t>Restricciones cuantitativas (cupos, contingentes, medidas de salvaguardia).</w:t>
      </w:r>
    </w:p>
    <w:p w14:paraId="7FCD9B94" w14:textId="77777777" w:rsidR="005D079E" w:rsidRPr="007F03C4" w:rsidRDefault="005D079E" w:rsidP="007F03C4">
      <w:pPr>
        <w:numPr>
          <w:ilvl w:val="1"/>
          <w:numId w:val="3"/>
        </w:numPr>
        <w:jc w:val="both"/>
        <w:rPr>
          <w:rFonts w:ascii="Cambria" w:hAnsi="Cambria"/>
        </w:rPr>
      </w:pPr>
      <w:r w:rsidRPr="007F03C4">
        <w:rPr>
          <w:rFonts w:ascii="Cambria" w:hAnsi="Cambria"/>
        </w:rPr>
        <w:t>Medidas de efecto equivalente: Intervenciones estatales para impedir intercambios. Destacan las Barreras Técnicas Comerciales u Obstáculos Técnicos al Comercio (OTC) derivados de normas (normalización, certificación y homologación).</w:t>
      </w:r>
    </w:p>
    <w:p w14:paraId="0DD671CF" w14:textId="77777777" w:rsidR="005D079E" w:rsidRPr="007F03C4" w:rsidRDefault="005D079E" w:rsidP="007F03C4">
      <w:pPr>
        <w:numPr>
          <w:ilvl w:val="1"/>
          <w:numId w:val="3"/>
        </w:numPr>
        <w:jc w:val="both"/>
        <w:rPr>
          <w:rFonts w:ascii="Cambria" w:hAnsi="Cambria"/>
        </w:rPr>
      </w:pPr>
      <w:r w:rsidRPr="007F03C4">
        <w:rPr>
          <w:rFonts w:ascii="Cambria" w:hAnsi="Cambria"/>
        </w:rPr>
        <w:t>Controles en frontera.</w:t>
      </w:r>
    </w:p>
    <w:p w14:paraId="76D8BB2F" w14:textId="77777777" w:rsidR="005D079E" w:rsidRPr="007F03C4" w:rsidRDefault="005D079E" w:rsidP="007F03C4">
      <w:pPr>
        <w:numPr>
          <w:ilvl w:val="1"/>
          <w:numId w:val="3"/>
        </w:numPr>
        <w:jc w:val="both"/>
        <w:rPr>
          <w:rFonts w:ascii="Cambria" w:hAnsi="Cambria"/>
        </w:rPr>
      </w:pPr>
      <w:r w:rsidRPr="007F03C4">
        <w:rPr>
          <w:rFonts w:ascii="Cambria" w:hAnsi="Cambria"/>
        </w:rPr>
        <w:t>Ayudas estatales (subvenciones).</w:t>
      </w:r>
    </w:p>
    <w:p w14:paraId="7391E19F" w14:textId="77777777" w:rsidR="005D079E" w:rsidRPr="007F03C4" w:rsidRDefault="005D079E" w:rsidP="007F03C4">
      <w:pPr>
        <w:numPr>
          <w:ilvl w:val="1"/>
          <w:numId w:val="3"/>
        </w:numPr>
        <w:jc w:val="both"/>
        <w:rPr>
          <w:rFonts w:ascii="Cambria" w:hAnsi="Cambria"/>
        </w:rPr>
      </w:pPr>
      <w:r w:rsidRPr="007F03C4">
        <w:rPr>
          <w:rFonts w:ascii="Cambria" w:hAnsi="Cambria"/>
        </w:rPr>
        <w:t>Monopolios Estatales de Comercio Exterior.</w:t>
      </w:r>
    </w:p>
    <w:p w14:paraId="3E89922A" w14:textId="2835D4A2" w:rsidR="005D079E" w:rsidRPr="007F03C4" w:rsidRDefault="005D079E" w:rsidP="007F03C4">
      <w:pPr>
        <w:jc w:val="both"/>
        <w:rPr>
          <w:rFonts w:ascii="Cambria" w:hAnsi="Cambria"/>
          <w:u w:val="single"/>
        </w:rPr>
      </w:pPr>
      <w:r w:rsidRPr="007F03C4">
        <w:rPr>
          <w:rFonts w:ascii="Cambria" w:hAnsi="Cambria"/>
          <w:b/>
          <w:bCs/>
          <w:u w:val="single"/>
        </w:rPr>
        <w:t>Clasificación de la Comisión Europea (Libro Blanco 1985)</w:t>
      </w:r>
    </w:p>
    <w:p w14:paraId="3EB92369" w14:textId="77777777" w:rsidR="005D079E" w:rsidRPr="007F03C4" w:rsidRDefault="005D079E" w:rsidP="007F03C4">
      <w:pPr>
        <w:numPr>
          <w:ilvl w:val="0"/>
          <w:numId w:val="4"/>
        </w:numPr>
        <w:jc w:val="both"/>
        <w:rPr>
          <w:rFonts w:ascii="Cambria" w:hAnsi="Cambria"/>
        </w:rPr>
      </w:pPr>
      <w:r w:rsidRPr="007F03C4">
        <w:rPr>
          <w:rFonts w:ascii="Cambria" w:hAnsi="Cambria"/>
          <w:b/>
          <w:bCs/>
        </w:rPr>
        <w:t>Barreras físicas:</w:t>
      </w:r>
      <w:r w:rsidRPr="007F03C4">
        <w:rPr>
          <w:rFonts w:ascii="Cambria" w:hAnsi="Cambria"/>
        </w:rPr>
        <w:t xml:space="preserve"> Formalidades administrativas y controles aduaneros.</w:t>
      </w:r>
    </w:p>
    <w:p w14:paraId="5F9037ED" w14:textId="77777777" w:rsidR="005D079E" w:rsidRPr="007F03C4" w:rsidRDefault="005D079E" w:rsidP="007F03C4">
      <w:pPr>
        <w:numPr>
          <w:ilvl w:val="0"/>
          <w:numId w:val="4"/>
        </w:numPr>
        <w:jc w:val="both"/>
        <w:rPr>
          <w:rFonts w:ascii="Cambria" w:hAnsi="Cambria"/>
        </w:rPr>
      </w:pPr>
      <w:r w:rsidRPr="007F03C4">
        <w:rPr>
          <w:rFonts w:ascii="Cambria" w:hAnsi="Cambria"/>
          <w:b/>
          <w:bCs/>
        </w:rPr>
        <w:t>Barreras fiscales:</w:t>
      </w:r>
      <w:r w:rsidRPr="007F03C4">
        <w:rPr>
          <w:rFonts w:ascii="Cambria" w:hAnsi="Cambria"/>
        </w:rPr>
        <w:t xml:space="preserve"> Derechos de aduanas (aranceles) y otros gravámenes. El arancel depende del origen (preferencial o no), tipo de producto, tipo de derecho (ad </w:t>
      </w:r>
      <w:proofErr w:type="spellStart"/>
      <w:r w:rsidRPr="007F03C4">
        <w:rPr>
          <w:rFonts w:ascii="Cambria" w:hAnsi="Cambria"/>
        </w:rPr>
        <w:t>valorem</w:t>
      </w:r>
      <w:proofErr w:type="spellEnd"/>
      <w:r w:rsidRPr="007F03C4">
        <w:rPr>
          <w:rFonts w:ascii="Cambria" w:hAnsi="Cambria"/>
        </w:rPr>
        <w:t>, específico, mixto, compuesto) y valor en aduana.</w:t>
      </w:r>
    </w:p>
    <w:p w14:paraId="3ABE758F" w14:textId="77777777" w:rsidR="005D079E" w:rsidRPr="007F03C4" w:rsidRDefault="005D079E" w:rsidP="007F03C4">
      <w:pPr>
        <w:numPr>
          <w:ilvl w:val="0"/>
          <w:numId w:val="4"/>
        </w:numPr>
        <w:jc w:val="both"/>
        <w:rPr>
          <w:rFonts w:ascii="Cambria" w:hAnsi="Cambria"/>
        </w:rPr>
      </w:pPr>
      <w:r w:rsidRPr="007F03C4">
        <w:rPr>
          <w:rFonts w:ascii="Cambria" w:hAnsi="Cambria"/>
          <w:b/>
          <w:bCs/>
        </w:rPr>
        <w:t>Barreras técnicas:</w:t>
      </w:r>
      <w:r w:rsidRPr="007F03C4">
        <w:rPr>
          <w:rFonts w:ascii="Cambria" w:hAnsi="Cambria"/>
        </w:rPr>
        <w:t xml:space="preserve"> Principal obstáculo actual. Incluyen homologaciones, reglamentaciones sobre características/envase, normas de calidad, marcas de origen o procedimientos de despacho.</w:t>
      </w:r>
    </w:p>
    <w:p w14:paraId="37B0CF75" w14:textId="77777777" w:rsidR="005D079E" w:rsidRPr="007F03C4" w:rsidRDefault="005D079E" w:rsidP="007F03C4">
      <w:pPr>
        <w:pStyle w:val="Ttulo1"/>
        <w:jc w:val="both"/>
        <w:rPr>
          <w:rFonts w:ascii="Cambria" w:hAnsi="Cambria"/>
          <w:b/>
          <w:bCs/>
          <w:color w:val="auto"/>
          <w:sz w:val="28"/>
          <w:szCs w:val="28"/>
        </w:rPr>
      </w:pPr>
      <w:r w:rsidRPr="007F03C4">
        <w:rPr>
          <w:rFonts w:ascii="Cambria" w:hAnsi="Cambria"/>
          <w:b/>
          <w:bCs/>
          <w:color w:val="auto"/>
          <w:sz w:val="28"/>
          <w:szCs w:val="28"/>
        </w:rPr>
        <w:t>3. OBSTÁCULOS TÉCNICOS AL COMERCIO (OTC) Y ACUERDO DE LA OMC</w:t>
      </w:r>
    </w:p>
    <w:p w14:paraId="1513938C" w14:textId="77777777" w:rsidR="005D079E" w:rsidRPr="007F03C4" w:rsidRDefault="005D079E" w:rsidP="007F03C4">
      <w:pPr>
        <w:pStyle w:val="Ttulo2"/>
        <w:jc w:val="both"/>
        <w:rPr>
          <w:rFonts w:ascii="Cambria" w:hAnsi="Cambria"/>
          <w:b/>
          <w:bCs/>
          <w:color w:val="auto"/>
          <w:sz w:val="24"/>
          <w:szCs w:val="24"/>
        </w:rPr>
      </w:pPr>
      <w:r w:rsidRPr="007F03C4">
        <w:rPr>
          <w:rFonts w:ascii="Cambria" w:hAnsi="Cambria"/>
          <w:b/>
          <w:bCs/>
          <w:color w:val="auto"/>
          <w:sz w:val="24"/>
          <w:szCs w:val="24"/>
        </w:rPr>
        <w:t>3.1. Evolución y Contexto</w:t>
      </w:r>
    </w:p>
    <w:p w14:paraId="2B1025BF" w14:textId="77777777" w:rsidR="005D079E" w:rsidRPr="007F03C4" w:rsidRDefault="005D079E" w:rsidP="007F03C4">
      <w:pPr>
        <w:jc w:val="both"/>
        <w:rPr>
          <w:rFonts w:ascii="Cambria" w:hAnsi="Cambria"/>
        </w:rPr>
      </w:pPr>
      <w:r w:rsidRPr="007F03C4">
        <w:rPr>
          <w:rFonts w:ascii="Cambria" w:hAnsi="Cambria"/>
        </w:rPr>
        <w:t>El GATT de 1947 redujo los aranceles, lo que llevó a un aumento del uso de barreras no arancelarias (normas técnicas) con fines proteccionistas.</w:t>
      </w:r>
    </w:p>
    <w:p w14:paraId="2584D998" w14:textId="421E8680" w:rsidR="005D079E" w:rsidRPr="007F03C4" w:rsidRDefault="005D079E" w:rsidP="007F03C4">
      <w:pPr>
        <w:numPr>
          <w:ilvl w:val="0"/>
          <w:numId w:val="5"/>
        </w:numPr>
        <w:jc w:val="both"/>
        <w:rPr>
          <w:rFonts w:ascii="Cambria" w:hAnsi="Cambria"/>
        </w:rPr>
      </w:pPr>
      <w:r w:rsidRPr="007F03C4">
        <w:rPr>
          <w:rFonts w:ascii="Cambria" w:hAnsi="Cambria"/>
          <w:b/>
          <w:bCs/>
        </w:rPr>
        <w:t>Ronda de Tokio (1979):</w:t>
      </w:r>
      <w:r w:rsidRPr="007F03C4">
        <w:rPr>
          <w:rFonts w:ascii="Cambria" w:hAnsi="Cambria"/>
        </w:rPr>
        <w:t xml:space="preserve"> Creó el Código de Normas, pero tenía imprecisiones (no cubría procesos de producción ni evaluación de conformidad y solo aplicaba a firmantes).</w:t>
      </w:r>
    </w:p>
    <w:p w14:paraId="749C6173" w14:textId="77777777" w:rsidR="005D079E" w:rsidRPr="007F03C4" w:rsidRDefault="005D079E" w:rsidP="007F03C4">
      <w:pPr>
        <w:numPr>
          <w:ilvl w:val="0"/>
          <w:numId w:val="5"/>
        </w:numPr>
        <w:jc w:val="both"/>
        <w:rPr>
          <w:rFonts w:ascii="Cambria" w:hAnsi="Cambria"/>
        </w:rPr>
      </w:pPr>
      <w:r w:rsidRPr="007F03C4">
        <w:rPr>
          <w:rFonts w:ascii="Cambria" w:hAnsi="Cambria"/>
          <w:b/>
          <w:bCs/>
        </w:rPr>
        <w:t>Ronda Uruguay (1994):</w:t>
      </w:r>
      <w:r w:rsidRPr="007F03C4">
        <w:rPr>
          <w:rFonts w:ascii="Cambria" w:hAnsi="Cambria"/>
        </w:rPr>
        <w:t xml:space="preserve"> Creó la OMC y dos acuerdos específicos obligatorios para todos los miembros:</w:t>
      </w:r>
    </w:p>
    <w:p w14:paraId="2E5372B0" w14:textId="77777777" w:rsidR="005D079E" w:rsidRPr="007F03C4" w:rsidRDefault="005D079E" w:rsidP="007F03C4">
      <w:pPr>
        <w:numPr>
          <w:ilvl w:val="1"/>
          <w:numId w:val="5"/>
        </w:numPr>
        <w:jc w:val="both"/>
        <w:rPr>
          <w:rFonts w:ascii="Cambria" w:hAnsi="Cambria"/>
        </w:rPr>
      </w:pPr>
      <w:r w:rsidRPr="007F03C4">
        <w:rPr>
          <w:rFonts w:ascii="Cambria" w:hAnsi="Cambria"/>
          <w:b/>
          <w:bCs/>
        </w:rPr>
        <w:t>Acuerdo OTC (TBT):</w:t>
      </w:r>
      <w:r w:rsidRPr="007F03C4">
        <w:rPr>
          <w:rFonts w:ascii="Cambria" w:hAnsi="Cambria"/>
        </w:rPr>
        <w:t xml:space="preserve"> Reglas para normas y reglamentos técnicos.</w:t>
      </w:r>
    </w:p>
    <w:p w14:paraId="526391CB" w14:textId="77777777" w:rsidR="005D079E" w:rsidRPr="007F03C4" w:rsidRDefault="005D079E" w:rsidP="007F03C4">
      <w:pPr>
        <w:numPr>
          <w:ilvl w:val="1"/>
          <w:numId w:val="5"/>
        </w:numPr>
        <w:jc w:val="both"/>
        <w:rPr>
          <w:rFonts w:ascii="Cambria" w:hAnsi="Cambria"/>
        </w:rPr>
      </w:pPr>
      <w:r w:rsidRPr="007F03C4">
        <w:rPr>
          <w:rFonts w:ascii="Cambria" w:hAnsi="Cambria"/>
          <w:b/>
          <w:bCs/>
        </w:rPr>
        <w:lastRenderedPageBreak/>
        <w:t>Acuerdo MSF (SPS):</w:t>
      </w:r>
      <w:r w:rsidRPr="007F03C4">
        <w:rPr>
          <w:rFonts w:ascii="Cambria" w:hAnsi="Cambria"/>
        </w:rPr>
        <w:t xml:space="preserve"> Reglas para medidas sanitarias y fitosanitarias.</w:t>
      </w:r>
    </w:p>
    <w:p w14:paraId="50DCFA01" w14:textId="77777777" w:rsidR="005D079E" w:rsidRPr="007F03C4" w:rsidRDefault="005D079E" w:rsidP="007F03C4">
      <w:pPr>
        <w:numPr>
          <w:ilvl w:val="0"/>
          <w:numId w:val="5"/>
        </w:numPr>
        <w:jc w:val="both"/>
        <w:rPr>
          <w:rFonts w:ascii="Cambria" w:hAnsi="Cambria"/>
        </w:rPr>
      </w:pPr>
      <w:r w:rsidRPr="007F03C4">
        <w:rPr>
          <w:rFonts w:ascii="Cambria" w:hAnsi="Cambria"/>
          <w:b/>
          <w:bCs/>
        </w:rPr>
        <w:t>Enfoque Regional (UE):</w:t>
      </w:r>
      <w:r w:rsidRPr="007F03C4">
        <w:rPr>
          <w:rFonts w:ascii="Cambria" w:hAnsi="Cambria"/>
        </w:rPr>
        <w:t xml:space="preserve"> Principios de Armonización (Nuevo Enfoque), Transparencia (Directiva UE 2015/1535) y Reconocimiento Mutuo (Sentencia Cassis de Dijon).</w:t>
      </w:r>
    </w:p>
    <w:p w14:paraId="486FC95C" w14:textId="77777777" w:rsidR="005D079E" w:rsidRPr="007F03C4" w:rsidRDefault="005D079E" w:rsidP="007F03C4">
      <w:pPr>
        <w:pStyle w:val="Ttulo2"/>
        <w:jc w:val="both"/>
        <w:rPr>
          <w:rFonts w:ascii="Cambria" w:hAnsi="Cambria"/>
          <w:b/>
          <w:bCs/>
          <w:color w:val="auto"/>
          <w:sz w:val="24"/>
          <w:szCs w:val="24"/>
        </w:rPr>
      </w:pPr>
      <w:r w:rsidRPr="007F03C4">
        <w:rPr>
          <w:rFonts w:ascii="Cambria" w:hAnsi="Cambria"/>
          <w:b/>
          <w:bCs/>
          <w:color w:val="auto"/>
          <w:sz w:val="24"/>
          <w:szCs w:val="24"/>
        </w:rPr>
        <w:t>3.2. Acuerdo sobre Obstáculos Técnicos al Comercio (OTC)</w:t>
      </w:r>
    </w:p>
    <w:p w14:paraId="038CB5D4" w14:textId="77777777" w:rsidR="005D079E" w:rsidRPr="007F03C4" w:rsidRDefault="005D079E" w:rsidP="007F03C4">
      <w:pPr>
        <w:jc w:val="both"/>
        <w:rPr>
          <w:rFonts w:ascii="Cambria" w:hAnsi="Cambria"/>
        </w:rPr>
      </w:pPr>
      <w:r w:rsidRPr="007F03C4">
        <w:rPr>
          <w:rFonts w:ascii="Cambria" w:hAnsi="Cambria"/>
          <w:b/>
          <w:bCs/>
        </w:rPr>
        <w:t>Objetivo:</w:t>
      </w:r>
      <w:r w:rsidRPr="007F03C4">
        <w:rPr>
          <w:rFonts w:ascii="Cambria" w:hAnsi="Cambria"/>
        </w:rPr>
        <w:t xml:space="preserve"> Asegurar que reglamentos técnicos, normas y procedimientos de evaluación no creen obstáculos innecesarios, permitiendo medidas para objetivos legítimos (seguridad, salud, medioambiente).</w:t>
      </w:r>
    </w:p>
    <w:p w14:paraId="48282C9B" w14:textId="77777777" w:rsidR="005D079E" w:rsidRPr="007F03C4" w:rsidRDefault="005D079E" w:rsidP="007F03C4">
      <w:pPr>
        <w:jc w:val="both"/>
        <w:rPr>
          <w:rFonts w:ascii="Cambria" w:hAnsi="Cambria"/>
        </w:rPr>
      </w:pPr>
      <w:r w:rsidRPr="007F03C4">
        <w:rPr>
          <w:rFonts w:ascii="Cambria" w:hAnsi="Cambria"/>
          <w:b/>
          <w:bCs/>
        </w:rPr>
        <w:t>Categorías de medidas:</w:t>
      </w:r>
    </w:p>
    <w:p w14:paraId="4843FEB0" w14:textId="77777777" w:rsidR="005D079E" w:rsidRPr="007F03C4" w:rsidRDefault="005D079E" w:rsidP="007F03C4">
      <w:pPr>
        <w:numPr>
          <w:ilvl w:val="0"/>
          <w:numId w:val="6"/>
        </w:numPr>
        <w:jc w:val="both"/>
        <w:rPr>
          <w:rFonts w:ascii="Cambria" w:hAnsi="Cambria"/>
        </w:rPr>
      </w:pPr>
      <w:r w:rsidRPr="007F03C4">
        <w:rPr>
          <w:rFonts w:ascii="Cambria" w:hAnsi="Cambria"/>
          <w:b/>
          <w:bCs/>
        </w:rPr>
        <w:t>Reglamentos técnicos:</w:t>
      </w:r>
      <w:r w:rsidRPr="007F03C4">
        <w:rPr>
          <w:rFonts w:ascii="Cambria" w:hAnsi="Cambria"/>
        </w:rPr>
        <w:t xml:space="preserve"> Obligatorios. Establecen características del producto o procesos de producción.</w:t>
      </w:r>
    </w:p>
    <w:p w14:paraId="738E919B" w14:textId="77777777" w:rsidR="005D079E" w:rsidRPr="007F03C4" w:rsidRDefault="005D079E" w:rsidP="007F03C4">
      <w:pPr>
        <w:numPr>
          <w:ilvl w:val="0"/>
          <w:numId w:val="6"/>
        </w:numPr>
        <w:jc w:val="both"/>
        <w:rPr>
          <w:rFonts w:ascii="Cambria" w:hAnsi="Cambria"/>
        </w:rPr>
      </w:pPr>
      <w:r w:rsidRPr="007F03C4">
        <w:rPr>
          <w:rFonts w:ascii="Cambria" w:hAnsi="Cambria"/>
          <w:b/>
          <w:bCs/>
        </w:rPr>
        <w:t>Normas:</w:t>
      </w:r>
      <w:r w:rsidRPr="007F03C4">
        <w:rPr>
          <w:rFonts w:ascii="Cambria" w:hAnsi="Cambria"/>
        </w:rPr>
        <w:t xml:space="preserve"> Voluntarias. Aprobadas por instituciones reconocidas.</w:t>
      </w:r>
    </w:p>
    <w:p w14:paraId="3F74E830" w14:textId="77777777" w:rsidR="005D079E" w:rsidRPr="007F03C4" w:rsidRDefault="005D079E" w:rsidP="007F03C4">
      <w:pPr>
        <w:numPr>
          <w:ilvl w:val="0"/>
          <w:numId w:val="6"/>
        </w:numPr>
        <w:jc w:val="both"/>
        <w:rPr>
          <w:rFonts w:ascii="Cambria" w:hAnsi="Cambria"/>
        </w:rPr>
      </w:pPr>
      <w:r w:rsidRPr="007F03C4">
        <w:rPr>
          <w:rFonts w:ascii="Cambria" w:hAnsi="Cambria"/>
          <w:b/>
          <w:bCs/>
        </w:rPr>
        <w:t>Procedimientos de evaluación de la conformidad:</w:t>
      </w:r>
      <w:r w:rsidRPr="007F03C4">
        <w:rPr>
          <w:rFonts w:ascii="Cambria" w:hAnsi="Cambria"/>
        </w:rPr>
        <w:t xml:space="preserve"> Determinan el cumplimiento de reglamentos o normas (muestreo, prueba, inspección, certificación).</w:t>
      </w:r>
    </w:p>
    <w:p w14:paraId="02FC3D1A" w14:textId="77777777" w:rsidR="005D079E" w:rsidRPr="007F03C4" w:rsidRDefault="005D079E" w:rsidP="007F03C4">
      <w:pPr>
        <w:jc w:val="both"/>
        <w:rPr>
          <w:rFonts w:ascii="Cambria" w:hAnsi="Cambria"/>
        </w:rPr>
      </w:pPr>
      <w:r w:rsidRPr="007F03C4">
        <w:rPr>
          <w:rFonts w:ascii="Cambria" w:hAnsi="Cambria"/>
          <w:b/>
          <w:bCs/>
        </w:rPr>
        <w:t>Principios Básicos:</w:t>
      </w:r>
    </w:p>
    <w:p w14:paraId="21C0C2BF" w14:textId="77777777" w:rsidR="005D079E" w:rsidRPr="007F03C4" w:rsidRDefault="005D079E" w:rsidP="007F03C4">
      <w:pPr>
        <w:numPr>
          <w:ilvl w:val="0"/>
          <w:numId w:val="7"/>
        </w:numPr>
        <w:jc w:val="both"/>
        <w:rPr>
          <w:rFonts w:ascii="Cambria" w:hAnsi="Cambria"/>
        </w:rPr>
      </w:pPr>
      <w:r w:rsidRPr="007F03C4">
        <w:rPr>
          <w:rFonts w:ascii="Cambria" w:hAnsi="Cambria"/>
          <w:b/>
          <w:bCs/>
        </w:rPr>
        <w:t>Soberanía:</w:t>
      </w:r>
      <w:r w:rsidRPr="007F03C4">
        <w:rPr>
          <w:rFonts w:ascii="Cambria" w:hAnsi="Cambria"/>
        </w:rPr>
        <w:t xml:space="preserve"> Derecho a adoptar medidas para objetivos legítimos.</w:t>
      </w:r>
    </w:p>
    <w:p w14:paraId="7AFBEAFC" w14:textId="77777777" w:rsidR="005D079E" w:rsidRPr="007F03C4" w:rsidRDefault="005D079E" w:rsidP="007F03C4">
      <w:pPr>
        <w:numPr>
          <w:ilvl w:val="0"/>
          <w:numId w:val="7"/>
        </w:numPr>
        <w:jc w:val="both"/>
        <w:rPr>
          <w:rFonts w:ascii="Cambria" w:hAnsi="Cambria"/>
        </w:rPr>
      </w:pPr>
      <w:r w:rsidRPr="007F03C4">
        <w:rPr>
          <w:rFonts w:ascii="Cambria" w:hAnsi="Cambria"/>
          <w:b/>
          <w:bCs/>
        </w:rPr>
        <w:t>Necesidad:</w:t>
      </w:r>
      <w:r w:rsidRPr="007F03C4">
        <w:rPr>
          <w:rFonts w:ascii="Cambria" w:hAnsi="Cambria"/>
        </w:rPr>
        <w:t xml:space="preserve"> No deben ser más restrictivas de lo necesario.</w:t>
      </w:r>
    </w:p>
    <w:p w14:paraId="2D72AEF9" w14:textId="77777777" w:rsidR="005D079E" w:rsidRPr="007F03C4" w:rsidRDefault="005D079E" w:rsidP="007F03C4">
      <w:pPr>
        <w:numPr>
          <w:ilvl w:val="0"/>
          <w:numId w:val="7"/>
        </w:numPr>
        <w:jc w:val="both"/>
        <w:rPr>
          <w:rFonts w:ascii="Cambria" w:hAnsi="Cambria"/>
        </w:rPr>
      </w:pPr>
      <w:r w:rsidRPr="007F03C4">
        <w:rPr>
          <w:rFonts w:ascii="Cambria" w:hAnsi="Cambria"/>
          <w:b/>
          <w:bCs/>
        </w:rPr>
        <w:t>No Discriminación:</w:t>
      </w:r>
      <w:r w:rsidRPr="007F03C4">
        <w:rPr>
          <w:rFonts w:ascii="Cambria" w:hAnsi="Cambria"/>
        </w:rPr>
        <w:t xml:space="preserve"> Trato de Nación Más Favorecida y Trato Nacional.</w:t>
      </w:r>
    </w:p>
    <w:p w14:paraId="23AF4FD0" w14:textId="77777777" w:rsidR="005D079E" w:rsidRPr="007F03C4" w:rsidRDefault="005D079E" w:rsidP="007F03C4">
      <w:pPr>
        <w:numPr>
          <w:ilvl w:val="0"/>
          <w:numId w:val="7"/>
        </w:numPr>
        <w:jc w:val="both"/>
        <w:rPr>
          <w:rFonts w:ascii="Cambria" w:hAnsi="Cambria"/>
        </w:rPr>
      </w:pPr>
      <w:r w:rsidRPr="007F03C4">
        <w:rPr>
          <w:rFonts w:ascii="Cambria" w:hAnsi="Cambria"/>
          <w:b/>
          <w:bCs/>
        </w:rPr>
        <w:t>Armonización:</w:t>
      </w:r>
      <w:r w:rsidRPr="007F03C4">
        <w:rPr>
          <w:rFonts w:ascii="Cambria" w:hAnsi="Cambria"/>
        </w:rPr>
        <w:t xml:space="preserve"> Uso de normas internacionales existentes como base.</w:t>
      </w:r>
    </w:p>
    <w:p w14:paraId="1795B1BC" w14:textId="77777777" w:rsidR="005D079E" w:rsidRPr="007F03C4" w:rsidRDefault="005D079E" w:rsidP="007F03C4">
      <w:pPr>
        <w:numPr>
          <w:ilvl w:val="0"/>
          <w:numId w:val="7"/>
        </w:numPr>
        <w:jc w:val="both"/>
        <w:rPr>
          <w:rFonts w:ascii="Cambria" w:hAnsi="Cambria"/>
        </w:rPr>
      </w:pPr>
      <w:r w:rsidRPr="007F03C4">
        <w:rPr>
          <w:rFonts w:ascii="Cambria" w:hAnsi="Cambria"/>
          <w:b/>
          <w:bCs/>
        </w:rPr>
        <w:t>Reconocimiento Mutuo:</w:t>
      </w:r>
      <w:r w:rsidRPr="007F03C4">
        <w:rPr>
          <w:rFonts w:ascii="Cambria" w:hAnsi="Cambria"/>
        </w:rPr>
        <w:t xml:space="preserve"> Aceptación de resultados de evaluación de conformidad del país exportador (Acuerdos ARM).</w:t>
      </w:r>
    </w:p>
    <w:p w14:paraId="64D04499" w14:textId="77777777" w:rsidR="005D079E" w:rsidRPr="007F03C4" w:rsidRDefault="005D079E" w:rsidP="007F03C4">
      <w:pPr>
        <w:numPr>
          <w:ilvl w:val="0"/>
          <w:numId w:val="7"/>
        </w:numPr>
        <w:jc w:val="both"/>
        <w:rPr>
          <w:rFonts w:ascii="Cambria" w:hAnsi="Cambria"/>
        </w:rPr>
      </w:pPr>
      <w:r w:rsidRPr="007F03C4">
        <w:rPr>
          <w:rFonts w:ascii="Cambria" w:hAnsi="Cambria"/>
          <w:b/>
          <w:bCs/>
        </w:rPr>
        <w:t>Transparencia:</w:t>
      </w:r>
      <w:r w:rsidRPr="007F03C4">
        <w:rPr>
          <w:rFonts w:ascii="Cambria" w:hAnsi="Cambria"/>
        </w:rPr>
        <w:t xml:space="preserve"> Obligación de notificar proyectos de normas/reglamentos si no se basan en normas internacionales y afectan al comercio. Existencia de Puntos de Contacto (en España: SOIVRE y AENOR).</w:t>
      </w:r>
    </w:p>
    <w:p w14:paraId="24E4907A" w14:textId="77777777" w:rsidR="005D079E" w:rsidRPr="007F03C4" w:rsidRDefault="005D079E" w:rsidP="007F03C4">
      <w:pPr>
        <w:numPr>
          <w:ilvl w:val="0"/>
          <w:numId w:val="7"/>
        </w:numPr>
        <w:jc w:val="both"/>
        <w:rPr>
          <w:rFonts w:ascii="Cambria" w:hAnsi="Cambria"/>
        </w:rPr>
      </w:pPr>
      <w:r w:rsidRPr="007F03C4">
        <w:rPr>
          <w:rFonts w:ascii="Cambria" w:hAnsi="Cambria"/>
          <w:b/>
          <w:bCs/>
        </w:rPr>
        <w:t>Código de Buena Conducta:</w:t>
      </w:r>
      <w:r w:rsidRPr="007F03C4">
        <w:rPr>
          <w:rFonts w:ascii="Cambria" w:hAnsi="Cambria"/>
        </w:rPr>
        <w:t xml:space="preserve"> Para la elaboración de normas por instituciones (públicas y privadas).</w:t>
      </w:r>
    </w:p>
    <w:p w14:paraId="6F876B90" w14:textId="77777777" w:rsidR="005D079E" w:rsidRPr="007F03C4" w:rsidRDefault="005D079E" w:rsidP="007F03C4">
      <w:pPr>
        <w:jc w:val="both"/>
        <w:rPr>
          <w:rFonts w:ascii="Cambria" w:hAnsi="Cambria"/>
        </w:rPr>
      </w:pPr>
      <w:r w:rsidRPr="007F03C4">
        <w:rPr>
          <w:rFonts w:ascii="Cambria" w:hAnsi="Cambria"/>
          <w:b/>
          <w:bCs/>
        </w:rPr>
        <w:t>Funcionamiento:</w:t>
      </w:r>
    </w:p>
    <w:p w14:paraId="39366BF3" w14:textId="12EE37D7" w:rsidR="005D079E" w:rsidRPr="007F03C4" w:rsidRDefault="005D079E" w:rsidP="007F03C4">
      <w:pPr>
        <w:numPr>
          <w:ilvl w:val="0"/>
          <w:numId w:val="8"/>
        </w:numPr>
        <w:jc w:val="both"/>
        <w:rPr>
          <w:rFonts w:ascii="Cambria" w:hAnsi="Cambria"/>
        </w:rPr>
      </w:pPr>
      <w:r w:rsidRPr="007F03C4">
        <w:rPr>
          <w:rFonts w:ascii="Cambria" w:hAnsi="Cambria"/>
          <w:b/>
          <w:bCs/>
        </w:rPr>
        <w:t>Comité OTC:</w:t>
      </w:r>
      <w:r w:rsidRPr="007F03C4">
        <w:rPr>
          <w:rFonts w:ascii="Cambria" w:hAnsi="Cambria"/>
        </w:rPr>
        <w:t xml:space="preserve"> Administra el acuerdo, examina medidas específicas y celebra reuniones anuales.</w:t>
      </w:r>
    </w:p>
    <w:p w14:paraId="77D80DD5" w14:textId="3A9BF3D5" w:rsidR="005D079E" w:rsidRPr="007F03C4" w:rsidRDefault="005D079E" w:rsidP="007F03C4">
      <w:pPr>
        <w:numPr>
          <w:ilvl w:val="0"/>
          <w:numId w:val="8"/>
        </w:numPr>
        <w:jc w:val="both"/>
        <w:rPr>
          <w:rFonts w:ascii="Cambria" w:hAnsi="Cambria"/>
        </w:rPr>
      </w:pPr>
      <w:r w:rsidRPr="007F03C4">
        <w:rPr>
          <w:rFonts w:ascii="Cambria" w:hAnsi="Cambria"/>
          <w:b/>
          <w:bCs/>
        </w:rPr>
        <w:lastRenderedPageBreak/>
        <w:t>Órgano de Solución de Diferencias (OSD):</w:t>
      </w:r>
      <w:r w:rsidRPr="007F03C4">
        <w:rPr>
          <w:rFonts w:ascii="Cambria" w:hAnsi="Cambria"/>
        </w:rPr>
        <w:t xml:space="preserve"> Resuelve disputas si las consultas fracasan</w:t>
      </w:r>
      <w:r w:rsidR="001074EA" w:rsidRPr="007F03C4">
        <w:rPr>
          <w:rFonts w:ascii="Cambria" w:hAnsi="Cambria"/>
        </w:rPr>
        <w:t>.</w:t>
      </w:r>
    </w:p>
    <w:p w14:paraId="3697AC4D" w14:textId="281ABF42" w:rsidR="005D079E" w:rsidRPr="007F03C4" w:rsidRDefault="005D079E" w:rsidP="007F03C4">
      <w:pPr>
        <w:pStyle w:val="Ttulo1"/>
        <w:jc w:val="both"/>
        <w:rPr>
          <w:rFonts w:ascii="Cambria" w:hAnsi="Cambria"/>
          <w:b/>
          <w:bCs/>
          <w:color w:val="auto"/>
          <w:sz w:val="28"/>
          <w:szCs w:val="28"/>
        </w:rPr>
      </w:pPr>
      <w:r w:rsidRPr="007F03C4">
        <w:rPr>
          <w:rFonts w:ascii="Cambria" w:hAnsi="Cambria"/>
          <w:b/>
          <w:bCs/>
          <w:color w:val="auto"/>
          <w:sz w:val="28"/>
          <w:szCs w:val="28"/>
        </w:rPr>
        <w:t xml:space="preserve">4. BASE DE DATOS ACCESS2MARKETS </w:t>
      </w:r>
    </w:p>
    <w:p w14:paraId="73B9CCA1" w14:textId="1AA345B6" w:rsidR="005D079E" w:rsidRPr="007F03C4" w:rsidRDefault="005D079E" w:rsidP="007F03C4">
      <w:pPr>
        <w:jc w:val="both"/>
        <w:rPr>
          <w:rFonts w:ascii="Cambria" w:hAnsi="Cambria"/>
        </w:rPr>
      </w:pPr>
      <w:r w:rsidRPr="007F03C4">
        <w:rPr>
          <w:rFonts w:ascii="Cambria" w:hAnsi="Cambria"/>
        </w:rPr>
        <w:t>La base de datos Access2Markets sustituyó a finales de 2020 a la Base de Datos de Acceso a Mercado</w:t>
      </w:r>
      <w:r w:rsidR="00C06ECA" w:rsidRPr="007F03C4">
        <w:rPr>
          <w:rFonts w:ascii="Cambria" w:hAnsi="Cambria"/>
        </w:rPr>
        <w:t>s</w:t>
      </w:r>
      <w:r w:rsidRPr="007F03C4">
        <w:rPr>
          <w:rFonts w:ascii="Cambria" w:hAnsi="Cambria"/>
        </w:rPr>
        <w:t>. Es un instrumento gratuito para identificar barreras y facilitar el acceso a mercados de</w:t>
      </w:r>
      <w:r w:rsidR="001074EA" w:rsidRPr="007F03C4">
        <w:rPr>
          <w:rFonts w:ascii="Cambria" w:hAnsi="Cambria"/>
        </w:rPr>
        <w:t xml:space="preserve"> </w:t>
      </w:r>
      <w:r w:rsidRPr="007F03C4">
        <w:rPr>
          <w:rFonts w:ascii="Cambria" w:hAnsi="Cambria"/>
        </w:rPr>
        <w:t>TTPP.</w:t>
      </w:r>
    </w:p>
    <w:p w14:paraId="39EC2158" w14:textId="77777777" w:rsidR="005D079E" w:rsidRPr="007F03C4" w:rsidRDefault="005D079E" w:rsidP="007F03C4">
      <w:pPr>
        <w:pStyle w:val="Ttulo2"/>
        <w:jc w:val="both"/>
        <w:rPr>
          <w:rFonts w:ascii="Cambria" w:hAnsi="Cambria"/>
          <w:b/>
          <w:bCs/>
          <w:color w:val="auto"/>
          <w:sz w:val="24"/>
          <w:szCs w:val="24"/>
        </w:rPr>
      </w:pPr>
      <w:r w:rsidRPr="007F03C4">
        <w:rPr>
          <w:rFonts w:ascii="Cambria" w:hAnsi="Cambria"/>
          <w:b/>
          <w:bCs/>
          <w:color w:val="auto"/>
          <w:sz w:val="24"/>
          <w:szCs w:val="24"/>
        </w:rPr>
        <w:t>4.1. Funciones y Estructura</w:t>
      </w:r>
    </w:p>
    <w:p w14:paraId="32C7F354" w14:textId="77777777" w:rsidR="005D079E" w:rsidRPr="007F03C4" w:rsidRDefault="005D079E" w:rsidP="007F03C4">
      <w:pPr>
        <w:numPr>
          <w:ilvl w:val="0"/>
          <w:numId w:val="9"/>
        </w:numPr>
        <w:jc w:val="both"/>
        <w:rPr>
          <w:rFonts w:ascii="Cambria" w:hAnsi="Cambria"/>
        </w:rPr>
      </w:pPr>
      <w:r w:rsidRPr="007F03C4">
        <w:rPr>
          <w:rFonts w:ascii="Cambria" w:hAnsi="Cambria"/>
          <w:b/>
          <w:bCs/>
        </w:rPr>
        <w:t>Funciones:</w:t>
      </w:r>
      <w:r w:rsidRPr="007F03C4">
        <w:rPr>
          <w:rFonts w:ascii="Cambria" w:hAnsi="Cambria"/>
        </w:rPr>
        <w:t xml:space="preserve"> Clasificar barreras, proporcionar información sobre aranceles/legislación, guiar a PYMES y permitir comunicación interactiva (quejas).</w:t>
      </w:r>
    </w:p>
    <w:p w14:paraId="3BCEA67F" w14:textId="77777777" w:rsidR="005D079E" w:rsidRPr="007F03C4" w:rsidRDefault="005D079E" w:rsidP="007F03C4">
      <w:pPr>
        <w:numPr>
          <w:ilvl w:val="0"/>
          <w:numId w:val="9"/>
        </w:numPr>
        <w:jc w:val="both"/>
        <w:rPr>
          <w:rFonts w:ascii="Cambria" w:hAnsi="Cambria"/>
        </w:rPr>
      </w:pPr>
      <w:r w:rsidRPr="007F03C4">
        <w:rPr>
          <w:rFonts w:ascii="Cambria" w:hAnsi="Cambria"/>
          <w:b/>
          <w:bCs/>
        </w:rPr>
        <w:t>Estructura:</w:t>
      </w:r>
    </w:p>
    <w:p w14:paraId="01D62CD5" w14:textId="448141AD" w:rsidR="005D079E" w:rsidRPr="007F03C4" w:rsidRDefault="005D079E" w:rsidP="007F03C4">
      <w:pPr>
        <w:numPr>
          <w:ilvl w:val="1"/>
          <w:numId w:val="9"/>
        </w:numPr>
        <w:jc w:val="both"/>
        <w:rPr>
          <w:rFonts w:ascii="Cambria" w:hAnsi="Cambria"/>
        </w:rPr>
      </w:pPr>
      <w:r w:rsidRPr="007F03C4">
        <w:rPr>
          <w:rFonts w:ascii="Cambria" w:hAnsi="Cambria"/>
          <w:b/>
          <w:bCs/>
        </w:rPr>
        <w:t>Inicio (Home):</w:t>
      </w:r>
      <w:r w:rsidRPr="007F03C4">
        <w:rPr>
          <w:rFonts w:ascii="Cambria" w:hAnsi="Cambria"/>
        </w:rPr>
        <w:t xml:space="preserve"> Herramienta </w:t>
      </w:r>
      <w:proofErr w:type="spellStart"/>
      <w:r w:rsidRPr="007F03C4">
        <w:rPr>
          <w:rFonts w:ascii="Cambria" w:hAnsi="Cambria"/>
        </w:rPr>
        <w:t>My</w:t>
      </w:r>
      <w:proofErr w:type="spellEnd"/>
      <w:r w:rsidRPr="007F03C4">
        <w:rPr>
          <w:rFonts w:ascii="Cambria" w:hAnsi="Cambria"/>
        </w:rPr>
        <w:t xml:space="preserve"> </w:t>
      </w:r>
      <w:proofErr w:type="spellStart"/>
      <w:r w:rsidRPr="007F03C4">
        <w:rPr>
          <w:rFonts w:ascii="Cambria" w:hAnsi="Cambria"/>
        </w:rPr>
        <w:t>Trade</w:t>
      </w:r>
      <w:proofErr w:type="spellEnd"/>
      <w:r w:rsidRPr="007F03C4">
        <w:rPr>
          <w:rFonts w:ascii="Cambria" w:hAnsi="Cambria"/>
        </w:rPr>
        <w:t xml:space="preserve"> </w:t>
      </w:r>
      <w:proofErr w:type="spellStart"/>
      <w:r w:rsidRPr="007F03C4">
        <w:rPr>
          <w:rFonts w:ascii="Cambria" w:hAnsi="Cambria"/>
        </w:rPr>
        <w:t>Assistant</w:t>
      </w:r>
      <w:proofErr w:type="spellEnd"/>
      <w:r w:rsidRPr="007F03C4">
        <w:rPr>
          <w:rFonts w:ascii="Cambria" w:hAnsi="Cambria"/>
        </w:rPr>
        <w:t xml:space="preserve"> para buscar por código arancelario, origen y destino (aranceles, impuestos, reglas de origen, requisitos).</w:t>
      </w:r>
    </w:p>
    <w:p w14:paraId="1082A0ED" w14:textId="77777777" w:rsidR="005D079E" w:rsidRPr="007F03C4" w:rsidRDefault="005D079E" w:rsidP="007F03C4">
      <w:pPr>
        <w:numPr>
          <w:ilvl w:val="1"/>
          <w:numId w:val="9"/>
        </w:numPr>
        <w:jc w:val="both"/>
        <w:rPr>
          <w:rFonts w:ascii="Cambria" w:hAnsi="Cambria"/>
        </w:rPr>
      </w:pPr>
      <w:r w:rsidRPr="007F03C4">
        <w:rPr>
          <w:rFonts w:ascii="Cambria" w:hAnsi="Cambria"/>
          <w:b/>
          <w:bCs/>
        </w:rPr>
        <w:t>Bienes (Goods):</w:t>
      </w:r>
      <w:r w:rsidRPr="007F03C4">
        <w:rPr>
          <w:rFonts w:ascii="Cambria" w:hAnsi="Cambria"/>
        </w:rPr>
        <w:t xml:space="preserve"> Guías de exportación/importación y estadísticas.</w:t>
      </w:r>
    </w:p>
    <w:p w14:paraId="7E646AC1" w14:textId="77777777" w:rsidR="005D079E" w:rsidRPr="007F03C4" w:rsidRDefault="005D079E" w:rsidP="007F03C4">
      <w:pPr>
        <w:numPr>
          <w:ilvl w:val="1"/>
          <w:numId w:val="9"/>
        </w:numPr>
        <w:jc w:val="both"/>
        <w:rPr>
          <w:rFonts w:ascii="Cambria" w:hAnsi="Cambria"/>
        </w:rPr>
      </w:pPr>
      <w:r w:rsidRPr="007F03C4">
        <w:rPr>
          <w:rFonts w:ascii="Cambria" w:hAnsi="Cambria"/>
          <w:b/>
          <w:bCs/>
        </w:rPr>
        <w:t>Servicios (</w:t>
      </w:r>
      <w:proofErr w:type="spellStart"/>
      <w:r w:rsidRPr="007F03C4">
        <w:rPr>
          <w:rFonts w:ascii="Cambria" w:hAnsi="Cambria"/>
          <w:b/>
          <w:bCs/>
        </w:rPr>
        <w:t>Services</w:t>
      </w:r>
      <w:proofErr w:type="spellEnd"/>
      <w:r w:rsidRPr="007F03C4">
        <w:rPr>
          <w:rFonts w:ascii="Cambria" w:hAnsi="Cambria"/>
          <w:b/>
          <w:bCs/>
        </w:rPr>
        <w:t>):</w:t>
      </w:r>
      <w:r w:rsidRPr="007F03C4">
        <w:rPr>
          <w:rFonts w:ascii="Cambria" w:hAnsi="Cambria"/>
        </w:rPr>
        <w:t xml:space="preserve"> Guías, conceptos clave, comercio digital y licitación pública.</w:t>
      </w:r>
    </w:p>
    <w:p w14:paraId="6D6069F8" w14:textId="77777777" w:rsidR="005D079E" w:rsidRPr="007F03C4" w:rsidRDefault="005D079E" w:rsidP="007F03C4">
      <w:pPr>
        <w:numPr>
          <w:ilvl w:val="1"/>
          <w:numId w:val="9"/>
        </w:numPr>
        <w:jc w:val="both"/>
        <w:rPr>
          <w:rFonts w:ascii="Cambria" w:hAnsi="Cambria"/>
        </w:rPr>
      </w:pPr>
      <w:r w:rsidRPr="007F03C4">
        <w:rPr>
          <w:rFonts w:ascii="Cambria" w:hAnsi="Cambria"/>
          <w:b/>
          <w:bCs/>
        </w:rPr>
        <w:t>Inversiones (</w:t>
      </w:r>
      <w:proofErr w:type="spellStart"/>
      <w:r w:rsidRPr="007F03C4">
        <w:rPr>
          <w:rFonts w:ascii="Cambria" w:hAnsi="Cambria"/>
          <w:b/>
          <w:bCs/>
        </w:rPr>
        <w:t>Investment</w:t>
      </w:r>
      <w:proofErr w:type="spellEnd"/>
      <w:r w:rsidRPr="007F03C4">
        <w:rPr>
          <w:rFonts w:ascii="Cambria" w:hAnsi="Cambria"/>
          <w:b/>
          <w:bCs/>
        </w:rPr>
        <w:t>):</w:t>
      </w:r>
      <w:r w:rsidRPr="007F03C4">
        <w:rPr>
          <w:rFonts w:ascii="Cambria" w:hAnsi="Cambria"/>
        </w:rPr>
        <w:t xml:space="preserve"> Pilares y conceptos.</w:t>
      </w:r>
    </w:p>
    <w:p w14:paraId="26CE32AD" w14:textId="77777777" w:rsidR="005D079E" w:rsidRPr="007F03C4" w:rsidRDefault="005D079E" w:rsidP="007F03C4">
      <w:pPr>
        <w:numPr>
          <w:ilvl w:val="1"/>
          <w:numId w:val="9"/>
        </w:numPr>
        <w:jc w:val="both"/>
        <w:rPr>
          <w:rFonts w:ascii="Cambria" w:hAnsi="Cambria"/>
        </w:rPr>
      </w:pPr>
      <w:r w:rsidRPr="007F03C4">
        <w:rPr>
          <w:rFonts w:ascii="Cambria" w:hAnsi="Cambria"/>
          <w:b/>
          <w:bCs/>
        </w:rPr>
        <w:t>Mercados (</w:t>
      </w:r>
      <w:proofErr w:type="spellStart"/>
      <w:r w:rsidRPr="007F03C4">
        <w:rPr>
          <w:rFonts w:ascii="Cambria" w:hAnsi="Cambria"/>
          <w:b/>
          <w:bCs/>
        </w:rPr>
        <w:t>Markets</w:t>
      </w:r>
      <w:proofErr w:type="spellEnd"/>
      <w:r w:rsidRPr="007F03C4">
        <w:rPr>
          <w:rFonts w:ascii="Cambria" w:hAnsi="Cambria"/>
          <w:b/>
          <w:bCs/>
        </w:rPr>
        <w:t>):</w:t>
      </w:r>
      <w:r w:rsidRPr="007F03C4">
        <w:rPr>
          <w:rFonts w:ascii="Cambria" w:hAnsi="Cambria"/>
        </w:rPr>
        <w:t xml:space="preserve"> Información sobre el Mercado Único Europeo y Mercados no comunitarios (agrupados por tipo de acuerdo: ALC, SPG, EPA, etc.).</w:t>
      </w:r>
    </w:p>
    <w:p w14:paraId="4F7AD9C2" w14:textId="6F90034E" w:rsidR="005D079E" w:rsidRPr="007F03C4" w:rsidRDefault="005D079E" w:rsidP="007F03C4">
      <w:pPr>
        <w:numPr>
          <w:ilvl w:val="1"/>
          <w:numId w:val="9"/>
        </w:numPr>
        <w:jc w:val="both"/>
        <w:rPr>
          <w:rFonts w:ascii="Cambria" w:hAnsi="Cambria"/>
        </w:rPr>
      </w:pPr>
      <w:r w:rsidRPr="007F03C4">
        <w:rPr>
          <w:rFonts w:ascii="Cambria" w:hAnsi="Cambria"/>
          <w:b/>
          <w:bCs/>
        </w:rPr>
        <w:t>Caja de herramientas:</w:t>
      </w:r>
      <w:r w:rsidRPr="007F03C4">
        <w:rPr>
          <w:rFonts w:ascii="Cambria" w:hAnsi="Cambria"/>
        </w:rPr>
        <w:t xml:space="preserve"> Enlaces a base de datos SPS, sistema de quejas y servicios para PYMES.</w:t>
      </w:r>
    </w:p>
    <w:p w14:paraId="3700C92F" w14:textId="77777777" w:rsidR="005D079E" w:rsidRPr="007F03C4" w:rsidRDefault="005D079E" w:rsidP="007F03C4">
      <w:pPr>
        <w:pStyle w:val="Ttulo2"/>
        <w:jc w:val="both"/>
        <w:rPr>
          <w:rFonts w:ascii="Cambria" w:hAnsi="Cambria"/>
          <w:b/>
          <w:bCs/>
          <w:color w:val="auto"/>
          <w:sz w:val="24"/>
          <w:szCs w:val="24"/>
        </w:rPr>
      </w:pPr>
      <w:r w:rsidRPr="007F03C4">
        <w:rPr>
          <w:rFonts w:ascii="Cambria" w:hAnsi="Cambria"/>
          <w:b/>
          <w:bCs/>
          <w:color w:val="auto"/>
          <w:sz w:val="24"/>
          <w:szCs w:val="24"/>
        </w:rPr>
        <w:t>4.2. Gestión</w:t>
      </w:r>
    </w:p>
    <w:p w14:paraId="3432E485" w14:textId="77777777" w:rsidR="005D079E" w:rsidRPr="007F03C4" w:rsidRDefault="005D079E" w:rsidP="007F03C4">
      <w:pPr>
        <w:jc w:val="both"/>
        <w:rPr>
          <w:rFonts w:ascii="Cambria" w:hAnsi="Cambria"/>
        </w:rPr>
      </w:pPr>
      <w:r w:rsidRPr="007F03C4">
        <w:rPr>
          <w:rFonts w:ascii="Cambria" w:hAnsi="Cambria"/>
        </w:rPr>
        <w:t xml:space="preserve">La </w:t>
      </w:r>
      <w:r w:rsidRPr="007F03C4">
        <w:rPr>
          <w:rFonts w:ascii="Cambria" w:hAnsi="Cambria"/>
          <w:u w:val="single"/>
        </w:rPr>
        <w:t>Unidad de Acceso a Mercados</w:t>
      </w:r>
      <w:r w:rsidRPr="007F03C4">
        <w:rPr>
          <w:rFonts w:ascii="Cambria" w:hAnsi="Cambria"/>
        </w:rPr>
        <w:t xml:space="preserve"> de la Comisión gestiona la base. En España, la Secretaría de Estado de Comercio actúa como punto de contacto para canalizar quejas de empresas, que deben incluir descripción de la barrera, producto afectado, normativa vulnerada y gestiones realizadas.</w:t>
      </w:r>
    </w:p>
    <w:p w14:paraId="1F7590FE" w14:textId="77777777" w:rsidR="005D079E" w:rsidRPr="007F03C4" w:rsidRDefault="005D079E" w:rsidP="007F03C4">
      <w:pPr>
        <w:pStyle w:val="Ttulo1"/>
        <w:jc w:val="both"/>
        <w:rPr>
          <w:rFonts w:ascii="Cambria" w:hAnsi="Cambria"/>
          <w:b/>
          <w:bCs/>
          <w:color w:val="auto"/>
          <w:sz w:val="28"/>
          <w:szCs w:val="28"/>
        </w:rPr>
      </w:pPr>
      <w:r w:rsidRPr="007F03C4">
        <w:rPr>
          <w:rFonts w:ascii="Cambria" w:hAnsi="Cambria"/>
          <w:b/>
          <w:bCs/>
          <w:color w:val="auto"/>
          <w:sz w:val="28"/>
          <w:szCs w:val="28"/>
        </w:rPr>
        <w:t>5. CONCLUSIÓN Y OTROS INSTRUMENTOS</w:t>
      </w:r>
    </w:p>
    <w:p w14:paraId="7C482F78" w14:textId="77777777" w:rsidR="005D079E" w:rsidRPr="007F03C4" w:rsidRDefault="005D079E" w:rsidP="007F03C4">
      <w:pPr>
        <w:jc w:val="both"/>
        <w:rPr>
          <w:rFonts w:ascii="Cambria" w:hAnsi="Cambria"/>
        </w:rPr>
      </w:pPr>
      <w:r w:rsidRPr="007F03C4">
        <w:rPr>
          <w:rFonts w:ascii="Cambria" w:hAnsi="Cambria"/>
        </w:rPr>
        <w:t>Además del Acuerdo OTC y Access2Markets, existen mecanismos adicionales:</w:t>
      </w:r>
    </w:p>
    <w:p w14:paraId="78520E91" w14:textId="77777777" w:rsidR="005D079E" w:rsidRPr="007F03C4" w:rsidRDefault="005D079E" w:rsidP="007F03C4">
      <w:pPr>
        <w:numPr>
          <w:ilvl w:val="0"/>
          <w:numId w:val="10"/>
        </w:numPr>
        <w:jc w:val="both"/>
        <w:rPr>
          <w:rFonts w:ascii="Cambria" w:hAnsi="Cambria"/>
        </w:rPr>
      </w:pPr>
      <w:r w:rsidRPr="007F03C4">
        <w:rPr>
          <w:rFonts w:ascii="Cambria" w:hAnsi="Cambria"/>
          <w:b/>
          <w:bCs/>
        </w:rPr>
        <w:lastRenderedPageBreak/>
        <w:t>Reglamento (CE) 2679/98 ("Fresas"):</w:t>
      </w:r>
      <w:r w:rsidRPr="007F03C4">
        <w:rPr>
          <w:rFonts w:ascii="Cambria" w:hAnsi="Cambria"/>
        </w:rPr>
        <w:t xml:space="preserve"> Para obstáculos manifiestos en el mercado interior resultantes de acción o inacción de un Estado Miembro.</w:t>
      </w:r>
    </w:p>
    <w:p w14:paraId="7F05DA2A" w14:textId="77777777" w:rsidR="005D079E" w:rsidRPr="007F03C4" w:rsidRDefault="005D079E" w:rsidP="007F03C4">
      <w:pPr>
        <w:numPr>
          <w:ilvl w:val="0"/>
          <w:numId w:val="10"/>
        </w:numPr>
        <w:jc w:val="both"/>
        <w:rPr>
          <w:rFonts w:ascii="Cambria" w:hAnsi="Cambria"/>
        </w:rPr>
      </w:pPr>
      <w:r w:rsidRPr="007F03C4">
        <w:rPr>
          <w:rFonts w:ascii="Cambria" w:hAnsi="Cambria"/>
          <w:b/>
          <w:bCs/>
        </w:rPr>
        <w:t>Red SOLVIT:</w:t>
      </w:r>
      <w:r w:rsidRPr="007F03C4">
        <w:rPr>
          <w:rFonts w:ascii="Cambria" w:hAnsi="Cambria"/>
        </w:rPr>
        <w:t xml:space="preserve"> Resolución extrajudicial de problemas en el mercado interior (ciudadanos y empresas) causados por administraciones nacionales.</w:t>
      </w:r>
    </w:p>
    <w:p w14:paraId="607CD98A" w14:textId="77777777" w:rsidR="00A65383" w:rsidRPr="007F03C4" w:rsidRDefault="00A65383" w:rsidP="007F03C4">
      <w:pPr>
        <w:jc w:val="both"/>
        <w:rPr>
          <w:rFonts w:ascii="Cambria" w:hAnsi="Cambria"/>
        </w:rPr>
      </w:pPr>
    </w:p>
    <w:sectPr w:rsidR="00A65383" w:rsidRPr="007F03C4">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E7A36" w14:textId="77777777" w:rsidR="005D079E" w:rsidRDefault="005D079E" w:rsidP="005D079E">
      <w:pPr>
        <w:spacing w:after="0" w:line="240" w:lineRule="auto"/>
      </w:pPr>
      <w:r>
        <w:separator/>
      </w:r>
    </w:p>
  </w:endnote>
  <w:endnote w:type="continuationSeparator" w:id="0">
    <w:p w14:paraId="5357731D" w14:textId="77777777" w:rsidR="005D079E" w:rsidRDefault="005D079E" w:rsidP="005D07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7EBDB" w14:textId="77777777" w:rsidR="005D079E" w:rsidRDefault="005D079E" w:rsidP="005D079E">
      <w:pPr>
        <w:spacing w:after="0" w:line="240" w:lineRule="auto"/>
      </w:pPr>
      <w:r>
        <w:separator/>
      </w:r>
    </w:p>
  </w:footnote>
  <w:footnote w:type="continuationSeparator" w:id="0">
    <w:p w14:paraId="6719546B" w14:textId="77777777" w:rsidR="005D079E" w:rsidRDefault="005D079E" w:rsidP="005D07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58237" w14:textId="19C9D9A9" w:rsidR="005D079E" w:rsidRPr="005D079E" w:rsidRDefault="005D079E" w:rsidP="005D079E">
    <w:pPr>
      <w:pStyle w:val="Encabezado"/>
      <w:jc w:val="both"/>
      <w:rPr>
        <w:rFonts w:ascii="Palatino Linotype" w:hAnsi="Palatino Linotype"/>
        <w:i/>
        <w:iCs/>
      </w:rPr>
    </w:pPr>
    <w:r w:rsidRPr="005D079E">
      <w:rPr>
        <w:rFonts w:ascii="Palatino Linotype" w:hAnsi="Palatino Linotype"/>
        <w:b/>
        <w:bCs/>
        <w:i/>
        <w:iCs/>
      </w:rPr>
      <w:t>TEMA 27 -</w:t>
    </w:r>
    <w:r w:rsidRPr="005D079E">
      <w:rPr>
        <w:rFonts w:ascii="Palatino Linotype" w:hAnsi="Palatino Linotype"/>
        <w:i/>
        <w:iCs/>
      </w:rPr>
      <w:t xml:space="preserve"> Obstáculos comerciales: Identificación y caracterización de barreras comerciales. Obstáculos técnicos al comercio. Acuerdo sobre Obstáculos Técnicos al Comercio de la OMC (OTC). Contenido, funcionamiento y evolución. El portal Access2Markets, especial atención a la sección de barreras comerciales. Estructura y contenido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61CB0"/>
    <w:multiLevelType w:val="multilevel"/>
    <w:tmpl w:val="78D8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074D2"/>
    <w:multiLevelType w:val="multilevel"/>
    <w:tmpl w:val="B5E8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817560"/>
    <w:multiLevelType w:val="multilevel"/>
    <w:tmpl w:val="71D0B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B3A44"/>
    <w:multiLevelType w:val="multilevel"/>
    <w:tmpl w:val="F510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C78F7"/>
    <w:multiLevelType w:val="multilevel"/>
    <w:tmpl w:val="D6BC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F7B9E"/>
    <w:multiLevelType w:val="multilevel"/>
    <w:tmpl w:val="6EA05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415A67"/>
    <w:multiLevelType w:val="multilevel"/>
    <w:tmpl w:val="B5980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9D167E"/>
    <w:multiLevelType w:val="hybridMultilevel"/>
    <w:tmpl w:val="57B64748"/>
    <w:lvl w:ilvl="0" w:tplc="0C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5ADD1D2F"/>
    <w:multiLevelType w:val="multilevel"/>
    <w:tmpl w:val="729A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063C62"/>
    <w:multiLevelType w:val="hybridMultilevel"/>
    <w:tmpl w:val="B9F21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B1F5B2A"/>
    <w:multiLevelType w:val="multilevel"/>
    <w:tmpl w:val="38BE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713147"/>
    <w:multiLevelType w:val="hybridMultilevel"/>
    <w:tmpl w:val="56DEF29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775F44B7"/>
    <w:multiLevelType w:val="multilevel"/>
    <w:tmpl w:val="DE54D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5450735">
    <w:abstractNumId w:val="3"/>
  </w:num>
  <w:num w:numId="2" w16cid:durableId="297300903">
    <w:abstractNumId w:val="5"/>
  </w:num>
  <w:num w:numId="3" w16cid:durableId="1588424241">
    <w:abstractNumId w:val="2"/>
  </w:num>
  <w:num w:numId="4" w16cid:durableId="1526286609">
    <w:abstractNumId w:val="4"/>
  </w:num>
  <w:num w:numId="5" w16cid:durableId="279265456">
    <w:abstractNumId w:val="6"/>
  </w:num>
  <w:num w:numId="6" w16cid:durableId="846212752">
    <w:abstractNumId w:val="10"/>
  </w:num>
  <w:num w:numId="7" w16cid:durableId="575676641">
    <w:abstractNumId w:val="1"/>
  </w:num>
  <w:num w:numId="8" w16cid:durableId="659623268">
    <w:abstractNumId w:val="0"/>
  </w:num>
  <w:num w:numId="9" w16cid:durableId="1615331466">
    <w:abstractNumId w:val="12"/>
  </w:num>
  <w:num w:numId="10" w16cid:durableId="1720351921">
    <w:abstractNumId w:val="8"/>
  </w:num>
  <w:num w:numId="11" w16cid:durableId="472530850">
    <w:abstractNumId w:val="9"/>
  </w:num>
  <w:num w:numId="12" w16cid:durableId="486823725">
    <w:abstractNumId w:val="7"/>
  </w:num>
  <w:num w:numId="13" w16cid:durableId="14397179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79E"/>
    <w:rsid w:val="001074EA"/>
    <w:rsid w:val="005803BC"/>
    <w:rsid w:val="005D079E"/>
    <w:rsid w:val="006026D4"/>
    <w:rsid w:val="007F03C4"/>
    <w:rsid w:val="00A65383"/>
    <w:rsid w:val="00A8675C"/>
    <w:rsid w:val="00C06ECA"/>
    <w:rsid w:val="00C12CFD"/>
    <w:rsid w:val="00F135CC"/>
    <w:rsid w:val="00F77318"/>
    <w:rsid w:val="00FD5D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CE327"/>
  <w15:chartTrackingRefBased/>
  <w15:docId w15:val="{4A4D20BF-A272-4FE3-B0C8-430AA8CB2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07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D07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D079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D079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D079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D079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079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079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079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5D079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D079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D079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D079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D079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D079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079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079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079E"/>
    <w:rPr>
      <w:rFonts w:eastAsiaTheme="majorEastAsia" w:cstheme="majorBidi"/>
      <w:color w:val="272727" w:themeColor="text1" w:themeTint="D8"/>
    </w:rPr>
  </w:style>
  <w:style w:type="paragraph" w:styleId="Ttulo">
    <w:name w:val="Title"/>
    <w:basedOn w:val="Normal"/>
    <w:next w:val="Normal"/>
    <w:link w:val="TtuloCar"/>
    <w:uiPriority w:val="10"/>
    <w:qFormat/>
    <w:rsid w:val="005D07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079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079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079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079E"/>
    <w:pPr>
      <w:spacing w:before="160"/>
      <w:jc w:val="center"/>
    </w:pPr>
    <w:rPr>
      <w:i/>
      <w:iCs/>
      <w:color w:val="404040" w:themeColor="text1" w:themeTint="BF"/>
    </w:rPr>
  </w:style>
  <w:style w:type="character" w:customStyle="1" w:styleId="CitaCar">
    <w:name w:val="Cita Car"/>
    <w:basedOn w:val="Fuentedeprrafopredeter"/>
    <w:link w:val="Cita"/>
    <w:uiPriority w:val="29"/>
    <w:rsid w:val="005D079E"/>
    <w:rPr>
      <w:i/>
      <w:iCs/>
      <w:color w:val="404040" w:themeColor="text1" w:themeTint="BF"/>
    </w:rPr>
  </w:style>
  <w:style w:type="character" w:styleId="nfasisintenso">
    <w:name w:val="Intense Emphasis"/>
    <w:basedOn w:val="Fuentedeprrafopredeter"/>
    <w:uiPriority w:val="21"/>
    <w:qFormat/>
    <w:rsid w:val="005D079E"/>
    <w:rPr>
      <w:i/>
      <w:iCs/>
      <w:color w:val="0F4761" w:themeColor="accent1" w:themeShade="BF"/>
    </w:rPr>
  </w:style>
  <w:style w:type="paragraph" w:styleId="Citadestacada">
    <w:name w:val="Intense Quote"/>
    <w:basedOn w:val="Normal"/>
    <w:next w:val="Normal"/>
    <w:link w:val="CitadestacadaCar"/>
    <w:uiPriority w:val="30"/>
    <w:qFormat/>
    <w:rsid w:val="005D07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D079E"/>
    <w:rPr>
      <w:i/>
      <w:iCs/>
      <w:color w:val="0F4761" w:themeColor="accent1" w:themeShade="BF"/>
    </w:rPr>
  </w:style>
  <w:style w:type="character" w:styleId="Referenciaintensa">
    <w:name w:val="Intense Reference"/>
    <w:basedOn w:val="Fuentedeprrafopredeter"/>
    <w:uiPriority w:val="32"/>
    <w:qFormat/>
    <w:rsid w:val="005D079E"/>
    <w:rPr>
      <w:b/>
      <w:bCs/>
      <w:smallCaps/>
      <w:color w:val="0F4761" w:themeColor="accent1" w:themeShade="BF"/>
      <w:spacing w:val="5"/>
    </w:rPr>
  </w:style>
  <w:style w:type="paragraph" w:styleId="Encabezado">
    <w:name w:val="header"/>
    <w:basedOn w:val="Normal"/>
    <w:link w:val="EncabezadoCar"/>
    <w:uiPriority w:val="99"/>
    <w:unhideWhenUsed/>
    <w:rsid w:val="005D079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D079E"/>
  </w:style>
  <w:style w:type="paragraph" w:styleId="Piedepgina">
    <w:name w:val="footer"/>
    <w:basedOn w:val="Normal"/>
    <w:link w:val="PiedepginaCar"/>
    <w:uiPriority w:val="99"/>
    <w:unhideWhenUsed/>
    <w:rsid w:val="005D079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D0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971</Words>
  <Characters>5341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4</cp:revision>
  <dcterms:created xsi:type="dcterms:W3CDTF">2025-11-21T18:06:00Z</dcterms:created>
  <dcterms:modified xsi:type="dcterms:W3CDTF">2026-01-14T14:26:00Z</dcterms:modified>
</cp:coreProperties>
</file>